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E3" w:rsidRPr="00891B71" w:rsidRDefault="007010E3" w:rsidP="007010E3">
      <w:pPr>
        <w:pStyle w:val="Default"/>
        <w:jc w:val="right"/>
      </w:pPr>
      <w:r w:rsidRPr="00891B71">
        <w:rPr>
          <w:b/>
          <w:bCs/>
        </w:rPr>
        <w:t xml:space="preserve">УТВЕРЖДЕНО </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w:t>
      </w:r>
      <w:r w:rsidR="00F347FA">
        <w:rPr>
          <w:rFonts w:ascii="Times New Roman" w:hAnsi="Times New Roman"/>
          <w:sz w:val="24"/>
          <w:szCs w:val="24"/>
        </w:rPr>
        <w:t>.08.2020</w:t>
      </w:r>
      <w:r w:rsidRPr="003B75D8">
        <w:rPr>
          <w:rFonts w:ascii="Times New Roman" w:hAnsi="Times New Roman"/>
          <w:sz w:val="24"/>
          <w:szCs w:val="24"/>
        </w:rPr>
        <w:t>)</w:t>
      </w:r>
    </w:p>
    <w:p w:rsidR="007010E3" w:rsidRPr="003B75D8" w:rsidRDefault="007010E3" w:rsidP="007010E3">
      <w:pPr>
        <w:pStyle w:val="Default"/>
        <w:jc w:val="right"/>
        <w:rPr>
          <w:color w:val="auto"/>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xml:space="preserve">№ 132 </w:t>
      </w:r>
      <w:r w:rsidR="00F347FA">
        <w:rPr>
          <w:rFonts w:ascii="Times New Roman" w:hAnsi="Times New Roman"/>
          <w:sz w:val="24"/>
          <w:szCs w:val="24"/>
        </w:rPr>
        <w:t>от 19.11.2020</w:t>
      </w:r>
      <w:r w:rsidRPr="003B75D8">
        <w:rPr>
          <w:rFonts w:ascii="Times New Roman" w:hAnsi="Times New Roman"/>
          <w:sz w:val="24"/>
          <w:szCs w:val="24"/>
        </w:rPr>
        <w:t>)</w:t>
      </w:r>
    </w:p>
    <w:p w:rsidR="007010E3" w:rsidRPr="00AB2D1B" w:rsidRDefault="007010E3" w:rsidP="007010E3">
      <w:pPr>
        <w:pStyle w:val="Default"/>
        <w:jc w:val="right"/>
        <w:rPr>
          <w:sz w:val="14"/>
          <w:szCs w:val="14"/>
        </w:rPr>
      </w:pPr>
    </w:p>
    <w:p w:rsidR="007010E3" w:rsidRDefault="007010E3" w:rsidP="007010E3">
      <w:pPr>
        <w:pStyle w:val="Default"/>
        <w:jc w:val="center"/>
        <w:rPr>
          <w:sz w:val="28"/>
          <w:szCs w:val="28"/>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7010E3"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141 </w:t>
      </w:r>
      <w:r w:rsidR="00F347FA">
        <w:rPr>
          <w:rFonts w:ascii="Times New Roman" w:hAnsi="Times New Roman"/>
          <w:sz w:val="24"/>
          <w:szCs w:val="24"/>
        </w:rPr>
        <w:t>от 07.12.2020</w:t>
      </w:r>
      <w:r w:rsidRPr="007010E3">
        <w:rPr>
          <w:rFonts w:ascii="Times New Roman" w:hAnsi="Times New Roman"/>
          <w:sz w:val="24"/>
          <w:szCs w:val="24"/>
        </w:rPr>
        <w:t>;</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665F12">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7010E3" w:rsidRDefault="007010E3" w:rsidP="007010E3">
      <w:pPr>
        <w:pStyle w:val="Default"/>
        <w:jc w:val="center"/>
        <w:rPr>
          <w:sz w:val="28"/>
          <w:szCs w:val="28"/>
        </w:rPr>
      </w:pPr>
    </w:p>
    <w:p w:rsidR="00065B46" w:rsidRPr="00AB2D1B" w:rsidRDefault="00065B46" w:rsidP="00065B46">
      <w:pPr>
        <w:pStyle w:val="Default"/>
        <w:jc w:val="right"/>
        <w:rPr>
          <w:sz w:val="14"/>
          <w:szCs w:val="14"/>
        </w:rPr>
      </w:pPr>
    </w:p>
    <w:p w:rsidR="001C1945" w:rsidRDefault="001C1945" w:rsidP="001C1945">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C1945" w:rsidRPr="003B75D8" w:rsidRDefault="001C1945" w:rsidP="001C1945">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1C1945" w:rsidRPr="003B75D8" w:rsidRDefault="001C1945" w:rsidP="001C1945">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1C1945" w:rsidRPr="003B75D8" w:rsidRDefault="001C1945" w:rsidP="001C1945">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sidR="001F2BFA">
        <w:rPr>
          <w:rFonts w:ascii="Times New Roman" w:hAnsi="Times New Roman"/>
          <w:sz w:val="24"/>
          <w:szCs w:val="24"/>
        </w:rPr>
        <w:t>№ 51</w:t>
      </w:r>
      <w:bookmarkStart w:id="0" w:name="_GoBack"/>
      <w:bookmarkEnd w:id="0"/>
      <w:r w:rsidR="00AD61AB">
        <w:rPr>
          <w:rFonts w:ascii="Times New Roman" w:hAnsi="Times New Roman"/>
          <w:sz w:val="24"/>
          <w:szCs w:val="24"/>
        </w:rPr>
        <w:t xml:space="preserve"> от 26.03</w:t>
      </w:r>
      <w:r>
        <w:rPr>
          <w:rFonts w:ascii="Times New Roman" w:hAnsi="Times New Roman"/>
          <w:sz w:val="24"/>
          <w:szCs w:val="24"/>
        </w:rPr>
        <w:t>.2021</w:t>
      </w:r>
      <w:r w:rsidRPr="003B75D8">
        <w:rPr>
          <w:rFonts w:ascii="Times New Roman" w:hAnsi="Times New Roman"/>
          <w:sz w:val="24"/>
          <w:szCs w:val="24"/>
        </w:rPr>
        <w:t>)</w:t>
      </w:r>
    </w:p>
    <w:p w:rsidR="00065B46" w:rsidRDefault="00065B46" w:rsidP="007010E3">
      <w:pPr>
        <w:pStyle w:val="Default"/>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7010E3" w:rsidRDefault="007010E3" w:rsidP="007010E3">
      <w:pPr>
        <w:pStyle w:val="Default"/>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66E09" w:rsidRDefault="00766E09" w:rsidP="00065B46">
      <w:pPr>
        <w:pStyle w:val="Default"/>
        <w:jc w:val="center"/>
        <w:rPr>
          <w:sz w:val="23"/>
          <w:szCs w:val="23"/>
        </w:rPr>
      </w:pPr>
    </w:p>
    <w:p w:rsidR="00065B46" w:rsidRDefault="00065B46" w:rsidP="00065B46">
      <w:pPr>
        <w:pStyle w:val="Default"/>
        <w:jc w:val="center"/>
        <w:rPr>
          <w:sz w:val="23"/>
          <w:szCs w:val="23"/>
        </w:rPr>
      </w:pPr>
    </w:p>
    <w:p w:rsidR="006F6017" w:rsidRDefault="006F6017" w:rsidP="00065B46">
      <w:pPr>
        <w:pStyle w:val="Default"/>
        <w:jc w:val="center"/>
        <w:rPr>
          <w:sz w:val="23"/>
          <w:szCs w:val="23"/>
        </w:rPr>
      </w:pPr>
    </w:p>
    <w:p w:rsidR="006F6017" w:rsidRDefault="006F6017" w:rsidP="00065B46">
      <w:pPr>
        <w:pStyle w:val="Default"/>
        <w:jc w:val="center"/>
        <w:rPr>
          <w:sz w:val="23"/>
          <w:szCs w:val="23"/>
        </w:rPr>
      </w:pPr>
    </w:p>
    <w:p w:rsidR="006F6017" w:rsidRDefault="006F6017"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7010E3">
      <w:pPr>
        <w:pStyle w:val="Default"/>
        <w:rPr>
          <w:sz w:val="23"/>
          <w:szCs w:val="23"/>
        </w:rPr>
      </w:pPr>
    </w:p>
    <w:p w:rsidR="00533DA6" w:rsidRDefault="00533DA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010E3" w:rsidRDefault="007010E3" w:rsidP="00065B46">
      <w:pPr>
        <w:pStyle w:val="Default"/>
        <w:jc w:val="center"/>
        <w:rPr>
          <w:sz w:val="23"/>
          <w:szCs w:val="23"/>
        </w:rPr>
      </w:pPr>
    </w:p>
    <w:p w:rsidR="00AD61AB" w:rsidRDefault="00AD61AB"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7D1236" w:rsidRPr="00D63B26" w:rsidRDefault="00224741" w:rsidP="00224741">
      <w:pPr>
        <w:pStyle w:val="Default"/>
        <w:tabs>
          <w:tab w:val="center" w:pos="5244"/>
          <w:tab w:val="right" w:pos="10489"/>
        </w:tabs>
        <w:rPr>
          <w:sz w:val="23"/>
          <w:szCs w:val="23"/>
        </w:rPr>
      </w:pPr>
      <w:r>
        <w:rPr>
          <w:sz w:val="23"/>
          <w:szCs w:val="23"/>
        </w:rPr>
        <w:tab/>
      </w:r>
      <w:r w:rsidR="00726295">
        <w:rPr>
          <w:sz w:val="23"/>
          <w:szCs w:val="23"/>
        </w:rPr>
        <w:t>2021</w:t>
      </w:r>
      <w:r>
        <w:rPr>
          <w:sz w:val="23"/>
          <w:szCs w:val="23"/>
        </w:rPr>
        <w:tab/>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065B46" w:rsidP="00065B46">
      <w:pPr>
        <w:pStyle w:val="Default"/>
        <w:ind w:firstLine="567"/>
        <w:jc w:val="both"/>
      </w:pPr>
      <w:r w:rsidRPr="00D05082">
        <w:t xml:space="preserve"> 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065B46">
      <w:pPr>
        <w:pStyle w:val="Default"/>
        <w:jc w:val="both"/>
      </w:pPr>
      <w:r w:rsidRPr="000509B5">
        <w:rPr>
          <w:b/>
          <w:color w:val="auto"/>
        </w:rPr>
        <w:t xml:space="preserve">          </w:t>
      </w: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065B46" w:rsidP="00065B46">
      <w:pPr>
        <w:pStyle w:val="Default"/>
        <w:ind w:firstLine="709"/>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w:t>
      </w:r>
      <w:r w:rsidR="00342AC9">
        <w:rPr>
          <w:color w:val="auto"/>
        </w:rPr>
        <w:t xml:space="preserve">организованным </w:t>
      </w:r>
      <w:r>
        <w:rPr>
          <w:color w:val="auto"/>
        </w:rPr>
        <w:t xml:space="preserve">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Default="00065B46" w:rsidP="00065B46">
      <w:pPr>
        <w:pStyle w:val="Default"/>
        <w:ind w:firstLine="709"/>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Default="00065B46" w:rsidP="00065B46">
      <w:pPr>
        <w:pStyle w:val="Default"/>
        <w:jc w:val="right"/>
        <w:rPr>
          <w:sz w:val="28"/>
          <w:szCs w:val="28"/>
        </w:rPr>
        <w:sectPr w:rsidR="00065B46"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2D161B">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 xml:space="preserve">Допускается отклонение от установленных процентов содержания янтаря не более 5% </w:t>
            </w:r>
            <w:r w:rsidRPr="002D161B">
              <w:rPr>
                <w:rFonts w:ascii="Times New Roman" w:hAnsi="Times New Roman"/>
                <w:color w:val="000000"/>
                <w:sz w:val="24"/>
                <w:szCs w:val="24"/>
                <w:lang w:eastAsia="ru-RU"/>
              </w:rPr>
              <w:lastRenderedPageBreak/>
              <w:t>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r w:rsidRPr="002D161B">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w:t>
            </w:r>
            <w:r w:rsidRPr="002D161B">
              <w:rPr>
                <w:rFonts w:ascii="Times New Roman" w:hAnsi="Times New Roman"/>
                <w:color w:val="000000"/>
                <w:sz w:val="24"/>
                <w:szCs w:val="24"/>
                <w:lang w:eastAsia="ru-RU"/>
              </w:rPr>
              <w:lastRenderedPageBreak/>
              <w:t>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 xml:space="preserve">Допускается отклонение от установленных </w:t>
            </w:r>
            <w:r w:rsidRPr="00DE1FA7">
              <w:rPr>
                <w:rFonts w:ascii="Times New Roman" w:hAnsi="Times New Roman"/>
                <w:color w:val="000000"/>
                <w:szCs w:val="24"/>
                <w:lang w:eastAsia="ru-RU"/>
              </w:rPr>
              <w:lastRenderedPageBreak/>
              <w:t>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 xml:space="preserve">Допускается отклонение от установленных </w:t>
            </w:r>
            <w:r w:rsidRPr="00DE1FA7">
              <w:rPr>
                <w:rFonts w:ascii="Times New Roman" w:hAnsi="Times New Roman"/>
                <w:color w:val="000000"/>
                <w:szCs w:val="24"/>
                <w:lang w:eastAsia="ru-RU"/>
              </w:rPr>
              <w:lastRenderedPageBreak/>
              <w:t>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фр +20-50 гр - от 0% до 100%, (в т.ч. 1 сорт-от 0% до 100%(КМ-от 0% до 100%, КП-от 0% до 100%, ПМ-от 0% до 100%, ПП-от 0% до 100%),  2 сорт - от 0% до 100% (КМ-от 0% до </w:t>
            </w:r>
            <w:r w:rsidRPr="00DE1FA7">
              <w:rPr>
                <w:rFonts w:ascii="Times New Roman" w:hAnsi="Times New Roman"/>
                <w:color w:val="000000"/>
                <w:sz w:val="24"/>
                <w:szCs w:val="24"/>
                <w:lang w:eastAsia="ru-RU"/>
              </w:rPr>
              <w:lastRenderedPageBreak/>
              <w:t>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w:t>
            </w:r>
            <w:r w:rsidRPr="00DE1FA7">
              <w:rPr>
                <w:rFonts w:ascii="Times New Roman" w:hAnsi="Times New Roman"/>
                <w:color w:val="000000"/>
                <w:sz w:val="24"/>
                <w:szCs w:val="24"/>
                <w:lang w:eastAsia="ru-RU"/>
              </w:rPr>
              <w:lastRenderedPageBreak/>
              <w:t>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w:t>
            </w:r>
            <w:r w:rsidRPr="00DE1FA7">
              <w:rPr>
                <w:rFonts w:ascii="Times New Roman" w:hAnsi="Times New Roman"/>
                <w:color w:val="000000"/>
                <w:szCs w:val="24"/>
                <w:lang w:eastAsia="ru-RU"/>
              </w:rPr>
              <w:lastRenderedPageBreak/>
              <w:t>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w:t>
            </w:r>
            <w:r w:rsidRPr="00C41C82">
              <w:rPr>
                <w:rFonts w:ascii="Times New Roman" w:hAnsi="Times New Roman"/>
                <w:sz w:val="24"/>
                <w:szCs w:val="24"/>
              </w:rPr>
              <w:lastRenderedPageBreak/>
              <w:t>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DE1FA7">
              <w:rPr>
                <w:rFonts w:ascii="Times New Roman" w:hAnsi="Times New Roman"/>
                <w:color w:val="000000"/>
                <w:sz w:val="23"/>
                <w:szCs w:val="23"/>
                <w:lang w:eastAsia="ru-RU"/>
              </w:rPr>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w:t>
            </w:r>
            <w:r w:rsidRPr="00DE1FA7">
              <w:rPr>
                <w:rFonts w:ascii="Times New Roman" w:hAnsi="Times New Roman"/>
                <w:color w:val="000000"/>
                <w:sz w:val="23"/>
                <w:szCs w:val="23"/>
                <w:lang w:eastAsia="ru-RU"/>
              </w:rPr>
              <w:lastRenderedPageBreak/>
              <w:t>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w:t>
            </w:r>
            <w:r w:rsidRPr="00DE1FA7">
              <w:rPr>
                <w:rFonts w:ascii="Times New Roman" w:hAnsi="Times New Roman"/>
                <w:color w:val="000000"/>
                <w:sz w:val="24"/>
                <w:szCs w:val="24"/>
                <w:lang w:eastAsia="ru-RU"/>
              </w:rPr>
              <w:lastRenderedPageBreak/>
              <w:t>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 xml:space="preserve">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w:t>
            </w:r>
            <w:r w:rsidRPr="00DE1FA7">
              <w:rPr>
                <w:rFonts w:ascii="Times New Roman" w:hAnsi="Times New Roman"/>
                <w:color w:val="000000"/>
                <w:sz w:val="24"/>
                <w:szCs w:val="24"/>
                <w:lang w:eastAsia="ru-RU"/>
              </w:rPr>
              <w:lastRenderedPageBreak/>
              <w:t>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w:t>
            </w:r>
            <w:r w:rsidRPr="00DE1FA7">
              <w:rPr>
                <w:rFonts w:ascii="Times New Roman" w:hAnsi="Times New Roman"/>
                <w:color w:val="000000"/>
                <w:sz w:val="24"/>
                <w:szCs w:val="24"/>
                <w:lang w:eastAsia="ru-RU"/>
              </w:rPr>
              <w:lastRenderedPageBreak/>
              <w:t xml:space="preserve">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w:t>
            </w:r>
            <w:r w:rsidRPr="00DE1FA7">
              <w:rPr>
                <w:rFonts w:ascii="Times New Roman" w:hAnsi="Times New Roman"/>
                <w:color w:val="000000"/>
                <w:sz w:val="24"/>
                <w:szCs w:val="24"/>
                <w:lang w:eastAsia="ru-RU"/>
              </w:rPr>
              <w:lastRenderedPageBreak/>
              <w:t xml:space="preserve">+16мм-от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w:t>
            </w:r>
            <w:r w:rsidRPr="00DE1FA7">
              <w:rPr>
                <w:rFonts w:ascii="Times New Roman" w:hAnsi="Times New Roman"/>
                <w:color w:val="000000"/>
                <w:sz w:val="24"/>
                <w:szCs w:val="24"/>
                <w:lang w:eastAsia="ru-RU"/>
              </w:rPr>
              <w:lastRenderedPageBreak/>
              <w:t xml:space="preserve">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w:t>
            </w:r>
            <w:r w:rsidRPr="00DE1FA7">
              <w:rPr>
                <w:rFonts w:ascii="Times New Roman" w:hAnsi="Times New Roman"/>
                <w:color w:val="000000"/>
                <w:sz w:val="24"/>
                <w:szCs w:val="24"/>
                <w:lang w:eastAsia="ru-RU"/>
              </w:rPr>
              <w:lastRenderedPageBreak/>
              <w:t xml:space="preserve">+11,5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w:t>
            </w:r>
            <w:r w:rsidRPr="00DE1FA7">
              <w:rPr>
                <w:rFonts w:ascii="Times New Roman" w:hAnsi="Times New Roman"/>
                <w:color w:val="000000"/>
                <w:sz w:val="24"/>
                <w:szCs w:val="24"/>
                <w:lang w:eastAsia="ru-RU"/>
              </w:rPr>
              <w:lastRenderedPageBreak/>
              <w:t>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w:t>
            </w:r>
            <w:r w:rsidRPr="00DE1FA7">
              <w:rPr>
                <w:rFonts w:ascii="Times New Roman" w:hAnsi="Times New Roman"/>
                <w:color w:val="000000"/>
                <w:sz w:val="24"/>
                <w:szCs w:val="24"/>
                <w:lang w:eastAsia="ru-RU"/>
              </w:rPr>
              <w:lastRenderedPageBreak/>
              <w:t>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w:t>
            </w:r>
            <w:r w:rsidRPr="00DE1FA7">
              <w:rPr>
                <w:rFonts w:ascii="Times New Roman" w:hAnsi="Times New Roman"/>
                <w:color w:val="000000"/>
                <w:sz w:val="24"/>
                <w:szCs w:val="24"/>
                <w:lang w:eastAsia="ru-RU"/>
              </w:rPr>
              <w:lastRenderedPageBreak/>
              <w:t>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 xml:space="preserve">Допускается отклонение от установленных </w:t>
            </w:r>
            <w:r w:rsidRPr="00DE1FA7">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w:t>
            </w:r>
            <w:r w:rsidRPr="00DE1FA7">
              <w:rPr>
                <w:rFonts w:ascii="Times New Roman" w:hAnsi="Times New Roman"/>
                <w:color w:val="000000"/>
                <w:sz w:val="24"/>
                <w:szCs w:val="24"/>
                <w:lang w:eastAsia="ru-RU"/>
              </w:rPr>
              <w:lastRenderedPageBreak/>
              <w:t>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Янтарь  представляет собой крупные куски монолитной и слоистой структуры </w:t>
            </w:r>
            <w:r w:rsidRPr="00DE1FA7">
              <w:rPr>
                <w:rFonts w:ascii="Times New Roman" w:hAnsi="Times New Roman"/>
                <w:color w:val="000000"/>
                <w:sz w:val="24"/>
                <w:szCs w:val="24"/>
                <w:lang w:eastAsia="ru-RU"/>
              </w:rPr>
              <w:lastRenderedPageBreak/>
              <w:t>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w:t>
            </w:r>
            <w:r w:rsidRPr="00DE1FA7">
              <w:rPr>
                <w:rFonts w:ascii="Times New Roman" w:hAnsi="Times New Roman"/>
                <w:color w:val="000000"/>
                <w:sz w:val="24"/>
                <w:szCs w:val="24"/>
                <w:lang w:eastAsia="ru-RU"/>
              </w:rPr>
              <w:lastRenderedPageBreak/>
              <w:t>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w:t>
            </w:r>
            <w:r w:rsidRPr="00ED3836">
              <w:rPr>
                <w:rFonts w:ascii="Times New Roman" w:hAnsi="Times New Roman"/>
                <w:color w:val="000000"/>
                <w:sz w:val="23"/>
                <w:szCs w:val="23"/>
                <w:lang w:eastAsia="ru-RU"/>
              </w:rPr>
              <w:lastRenderedPageBreak/>
              <w:t>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w:t>
            </w:r>
            <w:r w:rsidRPr="00DE1FA7">
              <w:rPr>
                <w:rFonts w:ascii="Times New Roman" w:hAnsi="Times New Roman"/>
                <w:color w:val="000000"/>
                <w:sz w:val="24"/>
                <w:szCs w:val="24"/>
                <w:lang w:eastAsia="ru-RU"/>
              </w:rPr>
              <w:lastRenderedPageBreak/>
              <w:t>(свыше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w:t>
            </w:r>
            <w:r w:rsidRPr="00DE1FA7">
              <w:rPr>
                <w:rFonts w:ascii="Times New Roman" w:hAnsi="Times New Roman"/>
                <w:color w:val="000000"/>
                <w:sz w:val="24"/>
                <w:szCs w:val="24"/>
                <w:lang w:eastAsia="ru-RU"/>
              </w:rPr>
              <w:lastRenderedPageBreak/>
              <w:t>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w:t>
            </w:r>
            <w:r w:rsidRPr="00ED3836">
              <w:rPr>
                <w:rFonts w:ascii="Times New Roman" w:hAnsi="Times New Roman"/>
                <w:color w:val="000000"/>
                <w:sz w:val="23"/>
                <w:szCs w:val="23"/>
                <w:lang w:eastAsia="ru-RU"/>
              </w:rPr>
              <w:lastRenderedPageBreak/>
              <w:t>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w:t>
            </w:r>
            <w:r w:rsidRPr="00DE1FA7">
              <w:rPr>
                <w:rFonts w:ascii="Times New Roman" w:hAnsi="Times New Roman"/>
                <w:color w:val="000000"/>
                <w:sz w:val="24"/>
                <w:szCs w:val="24"/>
                <w:lang w:eastAsia="ru-RU"/>
              </w:rPr>
              <w:lastRenderedPageBreak/>
              <w:t xml:space="preserve">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w:t>
            </w:r>
            <w:r w:rsidRPr="00DE1FA7">
              <w:rPr>
                <w:rFonts w:ascii="Times New Roman" w:hAnsi="Times New Roman"/>
                <w:color w:val="000000"/>
                <w:sz w:val="24"/>
                <w:szCs w:val="24"/>
                <w:lang w:eastAsia="ru-RU"/>
              </w:rPr>
              <w:lastRenderedPageBreak/>
              <w:t>+16мм-от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w:t>
            </w:r>
            <w:r w:rsidRPr="00DE1FA7">
              <w:rPr>
                <w:rFonts w:ascii="Times New Roman" w:hAnsi="Times New Roman"/>
                <w:color w:val="000000"/>
                <w:sz w:val="24"/>
                <w:szCs w:val="24"/>
                <w:lang w:eastAsia="ru-RU"/>
              </w:rPr>
              <w:lastRenderedPageBreak/>
              <w:t xml:space="preserve">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w:t>
            </w:r>
            <w:r w:rsidRPr="00DE1FA7">
              <w:rPr>
                <w:rFonts w:ascii="Times New Roman" w:hAnsi="Times New Roman"/>
                <w:color w:val="000000"/>
                <w:sz w:val="24"/>
                <w:szCs w:val="24"/>
                <w:lang w:eastAsia="ru-RU"/>
              </w:rPr>
              <w:lastRenderedPageBreak/>
              <w:t>+11,5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w:t>
            </w:r>
            <w:r w:rsidRPr="00DE1FA7">
              <w:rPr>
                <w:rFonts w:ascii="Times New Roman" w:hAnsi="Times New Roman"/>
                <w:color w:val="000000"/>
                <w:sz w:val="24"/>
                <w:szCs w:val="24"/>
                <w:lang w:eastAsia="ru-RU"/>
              </w:rPr>
              <w:lastRenderedPageBreak/>
              <w:t>–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w:t>
            </w:r>
            <w:r w:rsidRPr="00DE1FA7">
              <w:rPr>
                <w:rFonts w:ascii="Times New Roman" w:hAnsi="Times New Roman"/>
                <w:color w:val="000000"/>
                <w:sz w:val="24"/>
                <w:szCs w:val="24"/>
                <w:lang w:eastAsia="ru-RU"/>
              </w:rPr>
              <w:lastRenderedPageBreak/>
              <w:t xml:space="preserve">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w:t>
            </w:r>
            <w:r w:rsidRPr="00DE1FA7">
              <w:rPr>
                <w:rFonts w:ascii="Times New Roman" w:hAnsi="Times New Roman"/>
                <w:color w:val="000000"/>
                <w:sz w:val="24"/>
                <w:szCs w:val="24"/>
                <w:lang w:eastAsia="ru-RU"/>
              </w:rPr>
              <w:lastRenderedPageBreak/>
              <w:t>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DE1FA7">
              <w:rPr>
                <w:rFonts w:ascii="Times New Roman" w:hAnsi="Times New Roman"/>
                <w:color w:val="000000"/>
                <w:sz w:val="24"/>
                <w:szCs w:val="24"/>
                <w:lang w:eastAsia="ru-RU"/>
              </w:rPr>
              <w:lastRenderedPageBreak/>
              <w:t>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w:t>
            </w:r>
            <w:r w:rsidRPr="006C03A9">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w:t>
            </w:r>
            <w:r w:rsidRPr="006C03A9">
              <w:rPr>
                <w:rFonts w:ascii="Times New Roman" w:hAnsi="Times New Roman"/>
                <w:color w:val="000000"/>
                <w:sz w:val="24"/>
                <w:szCs w:val="24"/>
                <w:lang w:eastAsia="ru-RU"/>
              </w:rPr>
              <w:lastRenderedPageBreak/>
              <w:t xml:space="preserve">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w:t>
            </w:r>
            <w:r w:rsidRPr="006C03A9">
              <w:rPr>
                <w:rFonts w:ascii="Times New Roman" w:hAnsi="Times New Roman"/>
                <w:color w:val="000000"/>
                <w:sz w:val="24"/>
                <w:szCs w:val="24"/>
                <w:lang w:eastAsia="ru-RU"/>
              </w:rPr>
              <w:lastRenderedPageBreak/>
              <w:t>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w:t>
            </w:r>
            <w:r w:rsidRPr="006C03A9">
              <w:rPr>
                <w:rFonts w:ascii="Times New Roman" w:hAnsi="Times New Roman"/>
                <w:color w:val="000000"/>
                <w:sz w:val="24"/>
                <w:szCs w:val="24"/>
                <w:lang w:eastAsia="ru-RU"/>
              </w:rPr>
              <w:lastRenderedPageBreak/>
              <w:t xml:space="preserve">(КМ-от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w:t>
            </w:r>
            <w:r w:rsidRPr="006C03A9">
              <w:rPr>
                <w:rFonts w:ascii="Times New Roman" w:hAnsi="Times New Roman"/>
                <w:color w:val="000000"/>
                <w:sz w:val="24"/>
                <w:szCs w:val="24"/>
                <w:lang w:eastAsia="ru-RU"/>
              </w:rPr>
              <w:lastRenderedPageBreak/>
              <w:t>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w:t>
            </w:r>
            <w:r w:rsidRPr="006C03A9">
              <w:rPr>
                <w:rFonts w:ascii="Times New Roman" w:hAnsi="Times New Roman"/>
                <w:color w:val="000000"/>
                <w:sz w:val="24"/>
                <w:szCs w:val="24"/>
                <w:lang w:eastAsia="ru-RU"/>
              </w:rPr>
              <w:lastRenderedPageBreak/>
              <w:t>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w:t>
            </w:r>
            <w:r w:rsidRPr="006C03A9">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w:t>
            </w:r>
            <w:r w:rsidRPr="006C03A9">
              <w:rPr>
                <w:rFonts w:ascii="Times New Roman" w:hAnsi="Times New Roman"/>
                <w:color w:val="000000"/>
                <w:sz w:val="24"/>
                <w:szCs w:val="24"/>
                <w:lang w:eastAsia="ru-RU"/>
              </w:rPr>
              <w:lastRenderedPageBreak/>
              <w:t xml:space="preserve">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w:t>
            </w:r>
            <w:r w:rsidRPr="006C03A9">
              <w:rPr>
                <w:rFonts w:ascii="Times New Roman" w:hAnsi="Times New Roman"/>
                <w:color w:val="000000"/>
                <w:sz w:val="24"/>
                <w:szCs w:val="24"/>
                <w:lang w:eastAsia="ru-RU"/>
              </w:rPr>
              <w:lastRenderedPageBreak/>
              <w:t>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w:t>
            </w:r>
            <w:r w:rsidRPr="006C03A9">
              <w:rPr>
                <w:rFonts w:ascii="Times New Roman" w:hAnsi="Times New Roman"/>
                <w:color w:val="000000"/>
                <w:sz w:val="24"/>
                <w:szCs w:val="24"/>
                <w:lang w:eastAsia="ru-RU"/>
              </w:rPr>
              <w:lastRenderedPageBreak/>
              <w:t xml:space="preserve">(КМ-от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w:t>
            </w:r>
            <w:r w:rsidRPr="006C03A9">
              <w:rPr>
                <w:rFonts w:ascii="Times New Roman" w:hAnsi="Times New Roman"/>
                <w:color w:val="000000"/>
                <w:sz w:val="24"/>
                <w:szCs w:val="24"/>
                <w:lang w:eastAsia="ru-RU"/>
              </w:rPr>
              <w:lastRenderedPageBreak/>
              <w:t>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pPr w:leftFromText="180" w:rightFromText="180" w:vertAnchor="text" w:tblpXSpec="center" w:tblpY="1"/>
        <w:tblOverlap w:val="never"/>
        <w:tblW w:w="5012" w:type="pct"/>
        <w:tblLook w:val="04A0" w:firstRow="1" w:lastRow="0" w:firstColumn="1" w:lastColumn="0" w:noHBand="0" w:noVBand="1"/>
      </w:tblPr>
      <w:tblGrid>
        <w:gridCol w:w="23"/>
        <w:gridCol w:w="516"/>
        <w:gridCol w:w="10"/>
        <w:gridCol w:w="22"/>
        <w:gridCol w:w="1816"/>
        <w:gridCol w:w="103"/>
        <w:gridCol w:w="678"/>
        <w:gridCol w:w="262"/>
        <w:gridCol w:w="1142"/>
        <w:gridCol w:w="157"/>
        <w:gridCol w:w="25"/>
        <w:gridCol w:w="1511"/>
        <w:gridCol w:w="899"/>
        <w:gridCol w:w="93"/>
        <w:gridCol w:w="4296"/>
        <w:gridCol w:w="30"/>
        <w:gridCol w:w="1197"/>
        <w:gridCol w:w="30"/>
        <w:gridCol w:w="187"/>
        <w:gridCol w:w="941"/>
        <w:gridCol w:w="1002"/>
        <w:gridCol w:w="737"/>
        <w:gridCol w:w="311"/>
      </w:tblGrid>
      <w:tr w:rsidR="00065B46" w:rsidRPr="00F528F5" w:rsidTr="006E349B">
        <w:trPr>
          <w:trHeight w:val="2220"/>
        </w:trPr>
        <w:tc>
          <w:tcPr>
            <w:tcW w:w="157"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974"/>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125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69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B52536" w:rsidRPr="00B52536" w:rsidTr="00AD61AB">
        <w:trPr>
          <w:gridBefore w:val="1"/>
          <w:gridAfter w:val="2"/>
          <w:wBefore w:w="8" w:type="pct"/>
          <w:wAfter w:w="329" w:type="pct"/>
          <w:trHeight w:val="750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2536" w:rsidRPr="00B52536" w:rsidRDefault="00B52536" w:rsidP="008326A1">
            <w:pPr>
              <w:spacing w:after="0" w:line="240" w:lineRule="auto"/>
              <w:jc w:val="center"/>
              <w:rPr>
                <w:rFonts w:cs="Calibri"/>
                <w:color w:val="000000"/>
                <w:lang w:eastAsia="ru-RU"/>
              </w:rPr>
            </w:pPr>
            <w:r w:rsidRPr="002D161B">
              <w:rPr>
                <w:rFonts w:ascii="Times New Roman" w:hAnsi="Times New Roman"/>
                <w:color w:val="000000"/>
                <w:sz w:val="24"/>
                <w:szCs w:val="24"/>
                <w:lang w:eastAsia="ru-RU"/>
              </w:rPr>
              <w:t>43</w:t>
            </w:r>
          </w:p>
        </w:tc>
        <w:tc>
          <w:tcPr>
            <w:tcW w:w="58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8326A1">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100%))_РЛ_FCA</w:t>
            </w: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32" w:type="pct"/>
            <w:gridSpan w:val="3"/>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B52536" w:rsidP="008326A1">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090C2B" w:rsidP="008326A1">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44</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фр.+16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9942416</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фр.+16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45</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фр.+14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фр.+14мм_РЛ_S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46</w:t>
            </w:r>
            <w:r w:rsidR="00A449C0" w:rsidRPr="00912218">
              <w:rPr>
                <w:rFonts w:ascii="Times New Roman" w:hAnsi="Times New Roman"/>
                <w:color w:val="000000"/>
                <w:sz w:val="24"/>
                <w:szCs w:val="24"/>
              </w:rPr>
              <w:t> </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фр.+11,5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47</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фр.+8-11,5мм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9942407</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фр.+8-11,5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48</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фр.+4-8мм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9942405</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фр.+4-8 мм_РЛ_S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restart"/>
            <w:shd w:val="clear" w:color="auto" w:fill="auto"/>
            <w:noWrap/>
            <w:vAlign w:val="center"/>
          </w:tcPr>
          <w:p w:rsidR="00A449C0" w:rsidRPr="00912218" w:rsidRDefault="006E349B" w:rsidP="008326A1">
            <w:pPr>
              <w:jc w:val="both"/>
              <w:rPr>
                <w:rFonts w:ascii="Times New Roman" w:hAnsi="Times New Roman"/>
                <w:color w:val="000000"/>
                <w:sz w:val="24"/>
                <w:szCs w:val="24"/>
              </w:rPr>
            </w:pPr>
            <w:r>
              <w:rPr>
                <w:rFonts w:ascii="Times New Roman" w:hAnsi="Times New Roman"/>
                <w:color w:val="000000"/>
                <w:sz w:val="24"/>
                <w:szCs w:val="24"/>
              </w:rPr>
              <w:t>49</w:t>
            </w:r>
          </w:p>
        </w:tc>
        <w:tc>
          <w:tcPr>
            <w:tcW w:w="602" w:type="pct"/>
            <w:gridSpan w:val="2"/>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 подел.50-100гр.-от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w:t>
            </w:r>
          </w:p>
        </w:tc>
        <w:tc>
          <w:tcPr>
            <w:tcW w:w="296"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2019, 2020</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9911305</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50-100 гр. в биржевом товаре следующее:</w:t>
            </w:r>
            <w:r w:rsidRPr="00912218">
              <w:rPr>
                <w:rFonts w:ascii="Times New Roman" w:hAnsi="Times New Roman"/>
                <w:color w:val="000000"/>
                <w:sz w:val="24"/>
                <w:szCs w:val="24"/>
              </w:rPr>
              <w:br/>
              <w:t>3-й сорт  -  9911305 -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Янтарный_Ян. подел. 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ign w:val="center"/>
          </w:tcPr>
          <w:p w:rsidR="00A449C0" w:rsidRPr="00FA0B9C" w:rsidRDefault="00A449C0" w:rsidP="008326A1">
            <w:pPr>
              <w:jc w:val="both"/>
              <w:rPr>
                <w:color w:val="000000"/>
              </w:rPr>
            </w:pPr>
          </w:p>
        </w:tc>
        <w:tc>
          <w:tcPr>
            <w:tcW w:w="602" w:type="pct"/>
            <w:gridSpan w:val="2"/>
            <w:vMerge/>
            <w:vAlign w:val="center"/>
          </w:tcPr>
          <w:p w:rsidR="00A449C0" w:rsidRPr="00FA0B9C" w:rsidRDefault="00A449C0" w:rsidP="008326A1">
            <w:pPr>
              <w:jc w:val="both"/>
              <w:rPr>
                <w:color w:val="000000"/>
              </w:rPr>
            </w:pPr>
          </w:p>
        </w:tc>
        <w:tc>
          <w:tcPr>
            <w:tcW w:w="296"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2019, 2020</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9911302</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tcBorders>
              <w:bottom w:val="single" w:sz="4" w:space="0" w:color="auto"/>
            </w:tcBorders>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20-50 гр. в биржевом товаре следующее:</w:t>
            </w:r>
            <w:r w:rsidRPr="00912218">
              <w:rPr>
                <w:rFonts w:ascii="Times New Roman" w:hAnsi="Times New Roman"/>
                <w:color w:val="000000"/>
                <w:sz w:val="24"/>
                <w:szCs w:val="24"/>
              </w:rPr>
              <w:br/>
              <w:t>3-й сорт  -  9911302 -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ign w:val="center"/>
          </w:tcPr>
          <w:p w:rsidR="00A449C0" w:rsidRPr="00FA0B9C" w:rsidRDefault="00A449C0" w:rsidP="008326A1">
            <w:pPr>
              <w:jc w:val="both"/>
              <w:rPr>
                <w:color w:val="000000"/>
              </w:rPr>
            </w:pPr>
          </w:p>
        </w:tc>
      </w:tr>
      <w:tr w:rsidR="008B39FD"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Align w:val="center"/>
          </w:tcPr>
          <w:p w:rsidR="008B39FD" w:rsidRPr="00FA0B9C" w:rsidRDefault="008B39FD" w:rsidP="003A702F">
            <w:pPr>
              <w:spacing w:after="0"/>
              <w:jc w:val="both"/>
              <w:rPr>
                <w:color w:val="000000"/>
              </w:rPr>
            </w:pPr>
          </w:p>
        </w:tc>
        <w:tc>
          <w:tcPr>
            <w:tcW w:w="602" w:type="pct"/>
            <w:gridSpan w:val="2"/>
            <w:vAlign w:val="center"/>
          </w:tcPr>
          <w:p w:rsidR="008B39FD" w:rsidRPr="00FA0B9C" w:rsidRDefault="008B39FD" w:rsidP="003A702F">
            <w:pPr>
              <w:spacing w:after="0"/>
              <w:jc w:val="both"/>
              <w:rPr>
                <w:color w:val="000000"/>
              </w:rPr>
            </w:pPr>
          </w:p>
        </w:tc>
        <w:tc>
          <w:tcPr>
            <w:tcW w:w="296"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2016; 2017; 2018; 2019, 2020</w:t>
            </w:r>
          </w:p>
        </w:tc>
        <w:tc>
          <w:tcPr>
            <w:tcW w:w="408"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9911301</w:t>
            </w:r>
          </w:p>
        </w:tc>
        <w:tc>
          <w:tcPr>
            <w:tcW w:w="794" w:type="pct"/>
            <w:gridSpan w:val="4"/>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СТО 00227092.001-2011</w:t>
            </w:r>
          </w:p>
        </w:tc>
        <w:tc>
          <w:tcPr>
            <w:tcW w:w="1354"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rPr>
              <w:br/>
              <w:t>Содержание янтаря массой 10-20 гр. в биржевом товаре следующее:</w:t>
            </w:r>
            <w:r w:rsidRPr="008326A1">
              <w:rPr>
                <w:rFonts w:ascii="Times New Roman" w:hAnsi="Times New Roman"/>
                <w:color w:val="000000"/>
              </w:rPr>
              <w:br/>
              <w:t>3-й сорт  -  9911301 - от 0% до 100%, по форме: компактный - от 0% до 100%, плоский - от 0% до 100%, по цвету: матовый -от 0% до 100%, прозрачный - от 0% до 100%</w:t>
            </w:r>
            <w:r w:rsidR="003A702F">
              <w:rPr>
                <w:rFonts w:ascii="Times New Roman" w:hAnsi="Times New Roman"/>
                <w:color w:val="000000"/>
              </w:rPr>
              <w:t xml:space="preserve"> </w:t>
            </w:r>
            <w:r w:rsidRPr="008326A1">
              <w:rPr>
                <w:rFonts w:ascii="Times New Roman" w:hAnsi="Times New Roman"/>
                <w:color w:val="000000"/>
              </w:rPr>
              <w:t xml:space="preserve">Допускается отклонение от установленных </w:t>
            </w:r>
            <w:r w:rsidRPr="008326A1">
              <w:rPr>
                <w:rFonts w:ascii="Times New Roman" w:hAnsi="Times New Roman"/>
                <w:color w:val="000000"/>
                <w:sz w:val="24"/>
                <w:szCs w:val="24"/>
              </w:rPr>
              <w:t>процентов содержания янтаря не более 5% в сторону увеличения или уменьшения</w:t>
            </w:r>
            <w:r w:rsidRPr="008326A1">
              <w:rPr>
                <w:rFonts w:ascii="Times New Roman" w:hAnsi="Times New Roman"/>
                <w:color w:val="000000"/>
              </w:rPr>
              <w:t>.</w:t>
            </w:r>
          </w:p>
        </w:tc>
        <w:tc>
          <w:tcPr>
            <w:tcW w:w="444" w:type="pct"/>
            <w:gridSpan w:val="3"/>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от 0% до 100%</w:t>
            </w:r>
          </w:p>
        </w:tc>
        <w:tc>
          <w:tcPr>
            <w:tcW w:w="840" w:type="pct"/>
            <w:gridSpan w:val="3"/>
            <w:vAlign w:val="center"/>
          </w:tcPr>
          <w:p w:rsidR="008B39FD" w:rsidRPr="00FA0B9C" w:rsidRDefault="008B39FD" w:rsidP="003A702F">
            <w:pPr>
              <w:spacing w:after="0"/>
              <w:jc w:val="both"/>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jc w:val="center"/>
              <w:rPr>
                <w:color w:val="000000"/>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c>
          <w:tcPr>
            <w:tcW w:w="246" w:type="pct"/>
            <w:gridSpan w:val="2"/>
            <w:tcBorders>
              <w:top w:val="nil"/>
              <w:left w:val="nil"/>
              <w:bottom w:val="nil"/>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2016, 2017, 2018,</w:t>
            </w:r>
          </w:p>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2019, 2020</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9911300</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3A702F">
            <w:pPr>
              <w:spacing w:after="0"/>
              <w:jc w:val="both"/>
              <w:rPr>
                <w:rFonts w:ascii="Times New Roman" w:hAnsi="Times New Roman"/>
                <w:color w:val="000000"/>
                <w:sz w:val="24"/>
                <w:szCs w:val="24"/>
              </w:rPr>
            </w:pPr>
            <w:r w:rsidRPr="008326A1">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sz w:val="24"/>
                <w:szCs w:val="24"/>
              </w:rPr>
              <w:br/>
              <w:t>Содержание янтаря массой 5-10 гр. в биржевом товаре следующее:</w:t>
            </w:r>
            <w:r w:rsidRPr="008326A1">
              <w:rPr>
                <w:rFonts w:ascii="Times New Roman" w:hAnsi="Times New Roman"/>
                <w:color w:val="000000"/>
                <w:sz w:val="24"/>
                <w:szCs w:val="24"/>
              </w:rPr>
              <w:br/>
              <w:t>3-й сорт  -  9911300 - от 0% до 100%, по форме: компактный - от 0% до 100%, плоский - от 0% до 100%, по цвету: матовый -от 0% до 100%, прозрачный - от 0% до 100%.</w:t>
            </w:r>
            <w:r w:rsidRPr="008326A1">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Pr="00DE1FA7" w:rsidRDefault="006E349B"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100%)),10-20гр. - 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5-10гр.-от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w:t>
            </w:r>
            <w:r>
              <w:rPr>
                <w:rFonts w:ascii="Times New Roman" w:hAnsi="Times New Roman"/>
                <w:color w:val="000000"/>
                <w:sz w:val="24"/>
                <w:szCs w:val="24"/>
                <w:lang w:eastAsia="ru-RU"/>
              </w:rPr>
              <w:t>-от 0% до 100%))</w:t>
            </w: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9911405</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4-й сорт  -  99114</w:t>
            </w:r>
            <w:r w:rsidRPr="00DE1FA7">
              <w:rPr>
                <w:rFonts w:ascii="Times New Roman" w:hAnsi="Times New Roman"/>
                <w:color w:val="000000"/>
                <w:sz w:val="24"/>
                <w:szCs w:val="24"/>
                <w:lang w:eastAsia="ru-RU"/>
              </w:rPr>
              <w:t>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CE632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3 сорт от 0% до 100% (КП-от 0% до 100%, ПП-от 0% до 100%)),10-20гр. - от 0% до 100% (в т.ч. 3 сорт от 0% до 100% (КП-от 0% до 100%, ПП-от 0% до 100%)), 5-10гр.-от 0% до 100% (в т.ч. 3 сорт от 0% до 100% (КП-от 0% до 100%, </w:t>
            </w:r>
            <w:r>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_РЛ_</w:t>
            </w:r>
            <w:r>
              <w:rPr>
                <w:rFonts w:ascii="Times New Roman" w:hAnsi="Times New Roman"/>
                <w:color w:val="000000"/>
                <w:sz w:val="24"/>
                <w:szCs w:val="24"/>
                <w:lang w:val="en-US" w:eastAsia="ru-RU"/>
              </w:rPr>
              <w:t>S</w:t>
            </w: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02</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w:t>
            </w:r>
            <w:r>
              <w:rPr>
                <w:rFonts w:ascii="Times New Roman" w:hAnsi="Times New Roman"/>
                <w:color w:val="000000"/>
                <w:sz w:val="24"/>
                <w:szCs w:val="24"/>
                <w:lang w:eastAsia="ru-RU"/>
              </w:rPr>
              <w:t xml:space="preserve"> гр. различной формы, артикулов </w:t>
            </w:r>
            <w:r w:rsidRPr="00DE1FA7">
              <w:rPr>
                <w:rFonts w:ascii="Times New Roman" w:hAnsi="Times New Roman"/>
                <w:color w:val="000000"/>
                <w:sz w:val="24"/>
                <w:szCs w:val="24"/>
                <w:lang w:eastAsia="ru-RU"/>
              </w:rPr>
              <w:t>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r>
              <w:rPr>
                <w:rFonts w:ascii="Times New Roman" w:hAnsi="Times New Roman"/>
                <w:color w:val="000000"/>
                <w:sz w:val="24"/>
                <w:szCs w:val="24"/>
                <w:lang w:eastAsia="ru-RU"/>
              </w:rPr>
              <w:t>, 2019, 2020</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01</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000000"/>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p>
        </w:tc>
        <w:tc>
          <w:tcPr>
            <w:tcW w:w="441" w:type="pct"/>
            <w:gridSpan w:val="2"/>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00</w:t>
            </w:r>
          </w:p>
        </w:tc>
        <w:tc>
          <w:tcPr>
            <w:tcW w:w="532"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w:t>
            </w:r>
            <w:r>
              <w:rPr>
                <w:rFonts w:ascii="Times New Roman" w:hAnsi="Times New Roman"/>
                <w:color w:val="000000"/>
                <w:sz w:val="24"/>
                <w:szCs w:val="24"/>
                <w:lang w:eastAsia="ru-RU"/>
              </w:rPr>
              <w:t>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000000"/>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bl>
    <w:p w:rsidR="007068AD" w:rsidRDefault="008326A1" w:rsidP="00065B46">
      <w:pPr>
        <w:pStyle w:val="Default"/>
        <w:jc w:val="right"/>
      </w:pPr>
      <w:r>
        <w:br w:type="textWrapping" w:clear="all"/>
      </w: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1F2BFA"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1F2BFA"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1F2BFA"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1F2BFA"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AD61AB"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AD61A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AD61AB"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AD61AB"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AD61A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AD61AB"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AD61A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AD61AB"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AD61AB"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AD61AB"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1F2BFA"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1F2BFA"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AD61AB"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AD61AB"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4A1263">
            <w:pPr>
              <w:spacing w:before="240" w:after="0" w:line="240" w:lineRule="auto"/>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4A1263" w:rsidRDefault="00533DA6" w:rsidP="004A1263">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tc>
      </w:tr>
      <w:tr w:rsidR="00533DA6" w:rsidRPr="00AD61AB" w:rsidTr="00533DA6">
        <w:tc>
          <w:tcPr>
            <w:tcW w:w="5529" w:type="dxa"/>
            <w:shd w:val="clear" w:color="auto" w:fill="auto"/>
          </w:tcPr>
          <w:p w:rsidR="00533DA6" w:rsidRPr="004A1263" w:rsidRDefault="00533DA6" w:rsidP="004A1263">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AD61AB"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AD61AB"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4A1263"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AD61A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AD61A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AD61A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AD61A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AD61AB"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AD61A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AD61AB"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564"/>
        <w:gridCol w:w="1649"/>
        <w:gridCol w:w="3640"/>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699"/>
        <w:gridCol w:w="1171"/>
        <w:gridCol w:w="398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AB" w:rsidRDefault="00AD61AB" w:rsidP="009A62C8">
      <w:pPr>
        <w:spacing w:after="0" w:line="240" w:lineRule="auto"/>
      </w:pPr>
      <w:r>
        <w:separator/>
      </w:r>
    </w:p>
  </w:endnote>
  <w:endnote w:type="continuationSeparator" w:id="0">
    <w:p w:rsidR="00AD61AB" w:rsidRDefault="00AD61AB"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AD61AB" w:rsidRDefault="00AD61AB">
        <w:pPr>
          <w:pStyle w:val="aa"/>
          <w:jc w:val="right"/>
        </w:pPr>
        <w:r>
          <w:fldChar w:fldCharType="begin"/>
        </w:r>
        <w:r>
          <w:instrText>PAGE   \* MERGEFORMAT</w:instrText>
        </w:r>
        <w:r>
          <w:fldChar w:fldCharType="separate"/>
        </w:r>
        <w:r w:rsidR="001F2BFA">
          <w:rPr>
            <w:noProof/>
          </w:rPr>
          <w:t>2</w:t>
        </w:r>
        <w:r>
          <w:fldChar w:fldCharType="end"/>
        </w:r>
      </w:p>
    </w:sdtContent>
  </w:sdt>
  <w:p w:rsidR="00AD61AB" w:rsidRDefault="00AD61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AB" w:rsidRDefault="00AD61AB">
    <w:pPr>
      <w:pStyle w:val="aa"/>
      <w:jc w:val="right"/>
    </w:pPr>
  </w:p>
  <w:p w:rsidR="00AD61AB" w:rsidRDefault="00AD61A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AD61AB" w:rsidRDefault="00AD61AB">
        <w:pPr>
          <w:pStyle w:val="aa"/>
          <w:jc w:val="right"/>
        </w:pPr>
        <w:r>
          <w:fldChar w:fldCharType="begin"/>
        </w:r>
        <w:r>
          <w:instrText>PAGE   \* MERGEFORMAT</w:instrText>
        </w:r>
        <w:r>
          <w:fldChar w:fldCharType="separate"/>
        </w:r>
        <w:r w:rsidR="00224741">
          <w:rPr>
            <w:noProof/>
          </w:rPr>
          <w:t>259</w:t>
        </w:r>
        <w:r>
          <w:fldChar w:fldCharType="end"/>
        </w:r>
      </w:p>
    </w:sdtContent>
  </w:sdt>
  <w:p w:rsidR="00AD61AB" w:rsidRDefault="00AD61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AB" w:rsidRDefault="00AD61AB" w:rsidP="009A62C8">
      <w:pPr>
        <w:spacing w:after="0" w:line="240" w:lineRule="auto"/>
      </w:pPr>
      <w:r>
        <w:separator/>
      </w:r>
    </w:p>
  </w:footnote>
  <w:footnote w:type="continuationSeparator" w:id="0">
    <w:p w:rsidR="00AD61AB" w:rsidRDefault="00AD61AB"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AB" w:rsidRDefault="00AD61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0C2B"/>
    <w:rsid w:val="000960EC"/>
    <w:rsid w:val="000A3C51"/>
    <w:rsid w:val="000A3D01"/>
    <w:rsid w:val="000B5958"/>
    <w:rsid w:val="000C43B6"/>
    <w:rsid w:val="000C43CE"/>
    <w:rsid w:val="000C443A"/>
    <w:rsid w:val="000C7BD5"/>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1CD"/>
    <w:rsid w:val="001934C0"/>
    <w:rsid w:val="00194275"/>
    <w:rsid w:val="001976CB"/>
    <w:rsid w:val="001A0741"/>
    <w:rsid w:val="001A415B"/>
    <w:rsid w:val="001A438B"/>
    <w:rsid w:val="001B252F"/>
    <w:rsid w:val="001B30C0"/>
    <w:rsid w:val="001C1945"/>
    <w:rsid w:val="001D14FD"/>
    <w:rsid w:val="001D23E9"/>
    <w:rsid w:val="001D56C0"/>
    <w:rsid w:val="001F03AC"/>
    <w:rsid w:val="001F2BFA"/>
    <w:rsid w:val="001F4322"/>
    <w:rsid w:val="001F5B07"/>
    <w:rsid w:val="001F5EC3"/>
    <w:rsid w:val="001F64C2"/>
    <w:rsid w:val="001F6515"/>
    <w:rsid w:val="00202D36"/>
    <w:rsid w:val="00204CB4"/>
    <w:rsid w:val="00210AF6"/>
    <w:rsid w:val="00210D94"/>
    <w:rsid w:val="00213360"/>
    <w:rsid w:val="002158DF"/>
    <w:rsid w:val="00224741"/>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B7F20"/>
    <w:rsid w:val="002C0C9C"/>
    <w:rsid w:val="002C291D"/>
    <w:rsid w:val="002C2B1B"/>
    <w:rsid w:val="002C5942"/>
    <w:rsid w:val="002C6FEA"/>
    <w:rsid w:val="002D161B"/>
    <w:rsid w:val="002D461A"/>
    <w:rsid w:val="002D7CB8"/>
    <w:rsid w:val="002D7F5C"/>
    <w:rsid w:val="002E4195"/>
    <w:rsid w:val="002E4DE5"/>
    <w:rsid w:val="002E61B7"/>
    <w:rsid w:val="002E77E1"/>
    <w:rsid w:val="002F307A"/>
    <w:rsid w:val="00302681"/>
    <w:rsid w:val="003031A9"/>
    <w:rsid w:val="0030361C"/>
    <w:rsid w:val="00303B02"/>
    <w:rsid w:val="003050F4"/>
    <w:rsid w:val="00306C20"/>
    <w:rsid w:val="00313D9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02F"/>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610CD"/>
    <w:rsid w:val="007642B5"/>
    <w:rsid w:val="00766E09"/>
    <w:rsid w:val="00767031"/>
    <w:rsid w:val="00767169"/>
    <w:rsid w:val="00767F7A"/>
    <w:rsid w:val="00771FA2"/>
    <w:rsid w:val="007749D4"/>
    <w:rsid w:val="00777525"/>
    <w:rsid w:val="00777BBB"/>
    <w:rsid w:val="00780F1A"/>
    <w:rsid w:val="00785970"/>
    <w:rsid w:val="007870BF"/>
    <w:rsid w:val="00790215"/>
    <w:rsid w:val="00793661"/>
    <w:rsid w:val="007941E8"/>
    <w:rsid w:val="007A3727"/>
    <w:rsid w:val="007A628D"/>
    <w:rsid w:val="007A7253"/>
    <w:rsid w:val="007A7ABC"/>
    <w:rsid w:val="007B35A9"/>
    <w:rsid w:val="007B75EE"/>
    <w:rsid w:val="007C4E6C"/>
    <w:rsid w:val="007C5CF5"/>
    <w:rsid w:val="007D1236"/>
    <w:rsid w:val="007D3394"/>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E74"/>
    <w:rsid w:val="008D54CE"/>
    <w:rsid w:val="008E4516"/>
    <w:rsid w:val="008F0C77"/>
    <w:rsid w:val="008F1390"/>
    <w:rsid w:val="0090224C"/>
    <w:rsid w:val="00907D00"/>
    <w:rsid w:val="00912218"/>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3B9E"/>
    <w:rsid w:val="009D402E"/>
    <w:rsid w:val="009D68A2"/>
    <w:rsid w:val="009D7840"/>
    <w:rsid w:val="009F118E"/>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9C0"/>
    <w:rsid w:val="00A44C11"/>
    <w:rsid w:val="00A5190E"/>
    <w:rsid w:val="00A57CA7"/>
    <w:rsid w:val="00A60963"/>
    <w:rsid w:val="00A730FE"/>
    <w:rsid w:val="00A736B4"/>
    <w:rsid w:val="00A74C7C"/>
    <w:rsid w:val="00A77A86"/>
    <w:rsid w:val="00A87641"/>
    <w:rsid w:val="00A92C01"/>
    <w:rsid w:val="00AA5812"/>
    <w:rsid w:val="00AA7984"/>
    <w:rsid w:val="00AC642D"/>
    <w:rsid w:val="00AD1E5F"/>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8787E"/>
    <w:rsid w:val="00C90E00"/>
    <w:rsid w:val="00C91778"/>
    <w:rsid w:val="00C94EA1"/>
    <w:rsid w:val="00CA1094"/>
    <w:rsid w:val="00CA1ADD"/>
    <w:rsid w:val="00CA439B"/>
    <w:rsid w:val="00CB4C5A"/>
    <w:rsid w:val="00CC586B"/>
    <w:rsid w:val="00CC64E7"/>
    <w:rsid w:val="00CC6A6E"/>
    <w:rsid w:val="00CC7B82"/>
    <w:rsid w:val="00CD5EF6"/>
    <w:rsid w:val="00CD70FF"/>
    <w:rsid w:val="00CE76A3"/>
    <w:rsid w:val="00D00738"/>
    <w:rsid w:val="00D01644"/>
    <w:rsid w:val="00D01684"/>
    <w:rsid w:val="00D0373C"/>
    <w:rsid w:val="00D05BBA"/>
    <w:rsid w:val="00D10DFC"/>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49D7"/>
    <w:rsid w:val="00DF689B"/>
    <w:rsid w:val="00E0472F"/>
    <w:rsid w:val="00E12457"/>
    <w:rsid w:val="00E16B7D"/>
    <w:rsid w:val="00E20058"/>
    <w:rsid w:val="00E20A13"/>
    <w:rsid w:val="00E319D0"/>
    <w:rsid w:val="00E34246"/>
    <w:rsid w:val="00E35AD6"/>
    <w:rsid w:val="00E40096"/>
    <w:rsid w:val="00E44740"/>
    <w:rsid w:val="00E45CEE"/>
    <w:rsid w:val="00E46C0B"/>
    <w:rsid w:val="00E6458F"/>
    <w:rsid w:val="00E64CC0"/>
    <w:rsid w:val="00E657B1"/>
    <w:rsid w:val="00E66658"/>
    <w:rsid w:val="00E767F0"/>
    <w:rsid w:val="00E818F1"/>
    <w:rsid w:val="00E81ACD"/>
    <w:rsid w:val="00E83450"/>
    <w:rsid w:val="00E94E01"/>
    <w:rsid w:val="00EA09AF"/>
    <w:rsid w:val="00EA2760"/>
    <w:rsid w:val="00EA7333"/>
    <w:rsid w:val="00EB16BB"/>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324"/>
    <w:rsid w:val="00FE24F2"/>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C3D7550"/>
  <w15:docId w15:val="{140DF8EE-F803-4EE6-9DE3-4A31BA48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745C-CF2C-4F3A-8F63-49B551C8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143</Pages>
  <Words>56918</Words>
  <Characters>324434</Characters>
  <Application>Microsoft Office Word</Application>
  <DocSecurity>0</DocSecurity>
  <Lines>2703</Lines>
  <Paragraphs>761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380591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Павлячёк Дарья Дмитриевна</cp:lastModifiedBy>
  <cp:revision>9</cp:revision>
  <cp:lastPrinted>2021-03-26T06:51:00Z</cp:lastPrinted>
  <dcterms:created xsi:type="dcterms:W3CDTF">2021-03-24T10:09:00Z</dcterms:created>
  <dcterms:modified xsi:type="dcterms:W3CDTF">2021-03-26T08:48:00Z</dcterms:modified>
</cp:coreProperties>
</file>