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D8" w:rsidRPr="00891B71" w:rsidRDefault="003B75D8" w:rsidP="003B75D8">
      <w:pPr>
        <w:pStyle w:val="Default"/>
        <w:jc w:val="right"/>
      </w:pPr>
      <w:r w:rsidRPr="00891B71">
        <w:rPr>
          <w:b/>
          <w:bCs/>
        </w:rPr>
        <w:t xml:space="preserve">УТВЕРЖДЕНО </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Генеральным директором</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  87  от 25.08.2020 г.)</w:t>
      </w:r>
    </w:p>
    <w:p w:rsidR="003B75D8" w:rsidRPr="003B75D8" w:rsidRDefault="003B75D8" w:rsidP="00065B46">
      <w:pPr>
        <w:pStyle w:val="Default"/>
        <w:jc w:val="right"/>
        <w:rPr>
          <w:color w:val="auto"/>
        </w:rPr>
      </w:pPr>
    </w:p>
    <w:p w:rsidR="003B75D8" w:rsidRDefault="003B75D8" w:rsidP="00A558D5">
      <w:pPr>
        <w:spacing w:after="0" w:line="240" w:lineRule="auto"/>
        <w:ind w:right="-1"/>
        <w:jc w:val="right"/>
        <w:rPr>
          <w:rFonts w:ascii="Times New Roman" w:hAnsi="Times New Roman"/>
          <w:sz w:val="24"/>
          <w:szCs w:val="24"/>
        </w:rPr>
      </w:pPr>
      <w:r>
        <w:rPr>
          <w:rFonts w:ascii="Times New Roman" w:hAnsi="Times New Roman"/>
          <w:sz w:val="24"/>
          <w:szCs w:val="24"/>
        </w:rPr>
        <w:t>С изменениями, утвержденными Приказом</w:t>
      </w:r>
      <w:bookmarkStart w:id="0" w:name="_GoBack"/>
      <w:bookmarkEnd w:id="0"/>
    </w:p>
    <w:p w:rsidR="00065B46" w:rsidRPr="003B75D8" w:rsidRDefault="009E38E6" w:rsidP="00A558D5">
      <w:pPr>
        <w:spacing w:after="0" w:line="240" w:lineRule="auto"/>
        <w:ind w:right="-1"/>
        <w:jc w:val="right"/>
        <w:rPr>
          <w:rFonts w:ascii="Times New Roman" w:hAnsi="Times New Roman"/>
          <w:sz w:val="24"/>
          <w:szCs w:val="24"/>
        </w:rPr>
      </w:pPr>
      <w:r w:rsidRPr="003B75D8">
        <w:rPr>
          <w:rFonts w:ascii="Times New Roman" w:hAnsi="Times New Roman"/>
          <w:sz w:val="24"/>
          <w:szCs w:val="24"/>
        </w:rPr>
        <w:t xml:space="preserve">И.о. </w:t>
      </w:r>
      <w:r w:rsidR="00065B46" w:rsidRPr="003B75D8">
        <w:rPr>
          <w:rFonts w:ascii="Times New Roman" w:hAnsi="Times New Roman"/>
          <w:sz w:val="24"/>
          <w:szCs w:val="24"/>
        </w:rPr>
        <w:t>Генеральн</w:t>
      </w:r>
      <w:r w:rsidRPr="003B75D8">
        <w:rPr>
          <w:rFonts w:ascii="Times New Roman" w:hAnsi="Times New Roman"/>
          <w:sz w:val="24"/>
          <w:szCs w:val="24"/>
        </w:rPr>
        <w:t>ого</w:t>
      </w:r>
      <w:r w:rsidR="00065B46" w:rsidRPr="003B75D8">
        <w:rPr>
          <w:rFonts w:ascii="Times New Roman" w:hAnsi="Times New Roman"/>
          <w:sz w:val="24"/>
          <w:szCs w:val="24"/>
        </w:rPr>
        <w:t xml:space="preserve"> директор</w:t>
      </w:r>
      <w:r w:rsidRPr="003B75D8">
        <w:rPr>
          <w:rFonts w:ascii="Times New Roman" w:hAnsi="Times New Roman"/>
          <w:sz w:val="24"/>
          <w:szCs w:val="24"/>
        </w:rPr>
        <w:t>а</w:t>
      </w:r>
    </w:p>
    <w:p w:rsidR="00065B46" w:rsidRPr="003B75D8" w:rsidRDefault="00065B46" w:rsidP="00065B46">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065B46" w:rsidRPr="003B75D8" w:rsidRDefault="00065B46" w:rsidP="00065B46">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sidR="003B75D8">
        <w:rPr>
          <w:rFonts w:ascii="Times New Roman" w:hAnsi="Times New Roman"/>
          <w:sz w:val="24"/>
          <w:szCs w:val="24"/>
        </w:rPr>
        <w:t xml:space="preserve">№ </w:t>
      </w:r>
      <w:r w:rsidR="00A558D5">
        <w:rPr>
          <w:rFonts w:ascii="Times New Roman" w:hAnsi="Times New Roman"/>
          <w:sz w:val="24"/>
          <w:szCs w:val="24"/>
        </w:rPr>
        <w:t xml:space="preserve">132 </w:t>
      </w:r>
      <w:r w:rsidRPr="003B75D8">
        <w:rPr>
          <w:rFonts w:ascii="Times New Roman" w:hAnsi="Times New Roman"/>
          <w:sz w:val="24"/>
          <w:szCs w:val="24"/>
        </w:rPr>
        <w:t xml:space="preserve">от </w:t>
      </w:r>
      <w:r w:rsidR="009E38E6" w:rsidRPr="003B75D8">
        <w:rPr>
          <w:rFonts w:ascii="Times New Roman" w:hAnsi="Times New Roman"/>
          <w:sz w:val="24"/>
          <w:szCs w:val="24"/>
        </w:rPr>
        <w:t>19</w:t>
      </w:r>
      <w:r w:rsidR="00533DA6" w:rsidRPr="003B75D8">
        <w:rPr>
          <w:rFonts w:ascii="Times New Roman" w:hAnsi="Times New Roman"/>
          <w:sz w:val="24"/>
          <w:szCs w:val="24"/>
        </w:rPr>
        <w:t>.</w:t>
      </w:r>
      <w:r w:rsidR="00FF564B" w:rsidRPr="003B75D8">
        <w:rPr>
          <w:rFonts w:ascii="Times New Roman" w:hAnsi="Times New Roman"/>
          <w:sz w:val="24"/>
          <w:szCs w:val="24"/>
        </w:rPr>
        <w:t>11</w:t>
      </w:r>
      <w:r w:rsidR="00533DA6" w:rsidRPr="003B75D8">
        <w:rPr>
          <w:rFonts w:ascii="Times New Roman" w:hAnsi="Times New Roman"/>
          <w:sz w:val="24"/>
          <w:szCs w:val="24"/>
        </w:rPr>
        <w:t>.</w:t>
      </w:r>
      <w:r w:rsidRPr="003B75D8">
        <w:rPr>
          <w:rFonts w:ascii="Times New Roman" w:hAnsi="Times New Roman"/>
          <w:sz w:val="24"/>
          <w:szCs w:val="24"/>
        </w:rPr>
        <w:t>2020 г.)</w:t>
      </w:r>
    </w:p>
    <w:p w:rsidR="00065B46" w:rsidRPr="00AB2D1B" w:rsidRDefault="00065B46" w:rsidP="00065B46">
      <w:pPr>
        <w:pStyle w:val="Default"/>
        <w:jc w:val="right"/>
        <w:rPr>
          <w:sz w:val="14"/>
          <w:szCs w:val="14"/>
        </w:rPr>
      </w:pPr>
    </w:p>
    <w:p w:rsidR="00065B46" w:rsidRDefault="00065B4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FF564B" w:rsidRDefault="00FF564B"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66E09" w:rsidRDefault="00766E09" w:rsidP="00065B46">
      <w:pPr>
        <w:pStyle w:val="Default"/>
        <w:jc w:val="center"/>
        <w:rPr>
          <w:sz w:val="23"/>
          <w:szCs w:val="23"/>
        </w:rPr>
      </w:pPr>
    </w:p>
    <w:p w:rsidR="00065B46" w:rsidRDefault="00065B46" w:rsidP="00065B46">
      <w:pPr>
        <w:pStyle w:val="Default"/>
        <w:jc w:val="center"/>
        <w:rPr>
          <w:sz w:val="23"/>
          <w:szCs w:val="23"/>
        </w:rPr>
      </w:pPr>
    </w:p>
    <w:p w:rsidR="00533DA6" w:rsidRDefault="00533DA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065B46" w:rsidRPr="00D63B26" w:rsidRDefault="00065B46" w:rsidP="00D63B26">
      <w:pPr>
        <w:pStyle w:val="Default"/>
        <w:jc w:val="center"/>
        <w:rPr>
          <w:sz w:val="23"/>
          <w:szCs w:val="23"/>
        </w:rPr>
      </w:pPr>
      <w:r>
        <w:rPr>
          <w:sz w:val="23"/>
          <w:szCs w:val="23"/>
        </w:rPr>
        <w:t>2020</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065B46" w:rsidP="00065B46">
      <w:pPr>
        <w:pStyle w:val="Default"/>
        <w:ind w:firstLine="567"/>
        <w:jc w:val="both"/>
      </w:pPr>
      <w:r w:rsidRPr="00D05082">
        <w:t>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B21946">
      <w:pPr>
        <w:pStyle w:val="Default"/>
        <w:ind w:firstLine="567"/>
        <w:jc w:val="both"/>
      </w:pP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B21946">
      <w:pPr>
        <w:pStyle w:val="Default"/>
        <w:ind w:firstLine="567"/>
        <w:jc w:val="both"/>
      </w:pP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B21946">
      <w:pPr>
        <w:pStyle w:val="Default"/>
        <w:ind w:firstLine="567"/>
        <w:jc w:val="both"/>
      </w:pPr>
      <w:r>
        <w:t xml:space="preserve">где: </w:t>
      </w:r>
    </w:p>
    <w:p w:rsidR="00065B46" w:rsidRPr="00D05082" w:rsidRDefault="00065B46" w:rsidP="00B21946">
      <w:pPr>
        <w:pStyle w:val="Default"/>
        <w:ind w:firstLine="567"/>
        <w:jc w:val="both"/>
      </w:pPr>
      <w:r w:rsidRPr="00D05082">
        <w:t xml:space="preserve">БП – сокращенное наименование (код) базиса поставки, </w:t>
      </w:r>
    </w:p>
    <w:p w:rsidR="00065B46" w:rsidRPr="0027348A" w:rsidRDefault="00065B46" w:rsidP="00B21946">
      <w:pPr>
        <w:pStyle w:val="Default"/>
        <w:ind w:firstLine="567"/>
        <w:jc w:val="both"/>
        <w:rPr>
          <w:b/>
        </w:rPr>
      </w:pPr>
      <w:r w:rsidRPr="00D05082">
        <w:t>НБТ –</w:t>
      </w:r>
      <w:r w:rsidR="00D05BBA">
        <w:t xml:space="preserve"> код </w:t>
      </w:r>
      <w:r w:rsidRPr="00D05082">
        <w:t>биржевого товара,</w:t>
      </w:r>
      <w:r w:rsidR="0027348A">
        <w:t xml:space="preserve"> </w:t>
      </w:r>
      <w:r w:rsidR="0027348A" w:rsidRPr="003B75D8">
        <w:t>процентное содержание товара может принимать любое значение в диапазоне от 0% до 100%,</w:t>
      </w:r>
      <w:r w:rsidR="0027348A" w:rsidRPr="0027348A">
        <w:rPr>
          <w:b/>
        </w:rPr>
        <w:t xml:space="preserve"> </w:t>
      </w:r>
      <w:r w:rsidRPr="0027348A">
        <w:rPr>
          <w:b/>
        </w:rPr>
        <w:t xml:space="preserve"> </w:t>
      </w:r>
    </w:p>
    <w:p w:rsidR="00065B46" w:rsidRPr="00D05082" w:rsidRDefault="00065B46" w:rsidP="00B21946">
      <w:pPr>
        <w:pStyle w:val="Default"/>
        <w:ind w:firstLine="567"/>
        <w:jc w:val="both"/>
      </w:pPr>
      <w:r w:rsidRPr="00D05082">
        <w:t xml:space="preserve">РЛ – размер одного лота, </w:t>
      </w:r>
    </w:p>
    <w:p w:rsidR="00065B46" w:rsidRPr="00D05082" w:rsidRDefault="00065B46" w:rsidP="00B21946">
      <w:pPr>
        <w:pStyle w:val="Default"/>
        <w:ind w:firstLine="567"/>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rsidR="00B21946">
        <w:t xml:space="preserve">»* или </w:t>
      </w:r>
      <w:r w:rsidR="003B75D8">
        <w:t>«CPT»</w:t>
      </w:r>
      <w:r>
        <w:t>*.</w:t>
      </w:r>
      <w:r w:rsidRPr="00D05082">
        <w:t xml:space="preserve"> </w:t>
      </w:r>
    </w:p>
    <w:p w:rsidR="00065B46" w:rsidRDefault="00065B46" w:rsidP="00B21946">
      <w:pPr>
        <w:pStyle w:val="Default"/>
        <w:ind w:firstLine="567"/>
        <w:jc w:val="both"/>
      </w:pPr>
      <w:r w:rsidRPr="00D05082">
        <w:t xml:space="preserve">* при поставке на экспорт. </w:t>
      </w:r>
    </w:p>
    <w:p w:rsidR="00065B46" w:rsidRPr="000509B5" w:rsidRDefault="00065B46" w:rsidP="00B21946">
      <w:pPr>
        <w:pStyle w:val="Default"/>
        <w:ind w:firstLine="567"/>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w:t>
      </w:r>
      <w:r w:rsidR="00342AC9">
        <w:rPr>
          <w:color w:val="auto"/>
        </w:rPr>
        <w:t xml:space="preserve">организованным </w:t>
      </w:r>
      <w:r>
        <w:rPr>
          <w:color w:val="auto"/>
        </w:rPr>
        <w:t xml:space="preserve">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Default="00065B46" w:rsidP="00B21946">
      <w:pPr>
        <w:pStyle w:val="Default"/>
        <w:ind w:firstLine="567"/>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B21946">
        <w:rPr>
          <w:color w:val="000000" w:themeColor="text1"/>
        </w:rPr>
        <w:t>.</w:t>
      </w:r>
      <w:r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B21946">
      <w:pPr>
        <w:pStyle w:val="Default"/>
        <w:ind w:firstLine="567"/>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w:t>
            </w:r>
            <w:r w:rsidR="0027348A" w:rsidRPr="003B75D8">
              <w:rPr>
                <w:rFonts w:ascii="Times New Roman" w:hAnsi="Times New Roman"/>
                <w:b/>
                <w:bCs/>
                <w:color w:val="000000"/>
                <w:sz w:val="24"/>
                <w:szCs w:val="24"/>
                <w:lang w:eastAsia="ru-RU"/>
              </w:rPr>
              <w:t>/</w:t>
            </w:r>
            <w:r w:rsidRPr="003B75D8">
              <w:rPr>
                <w:rFonts w:ascii="Times New Roman" w:hAnsi="Times New Roman"/>
                <w:b/>
                <w:bCs/>
                <w:color w:val="000000"/>
                <w:sz w:val="24"/>
                <w:szCs w:val="24"/>
                <w:lang w:eastAsia="ru-RU"/>
              </w:rPr>
              <w:t xml:space="preserve"> </w:t>
            </w:r>
            <w:r w:rsidR="0027348A" w:rsidRPr="003B75D8">
              <w:rPr>
                <w:rFonts w:ascii="Times New Roman" w:hAnsi="Times New Roman"/>
                <w:b/>
                <w:bCs/>
                <w:color w:val="000000"/>
                <w:sz w:val="24"/>
                <w:szCs w:val="24"/>
                <w:lang w:eastAsia="ru-RU"/>
              </w:rPr>
              <w:t>код</w:t>
            </w:r>
            <w:r w:rsidR="0027348A">
              <w:rPr>
                <w:rFonts w:ascii="Times New Roman" w:hAnsi="Times New Roman"/>
                <w:b/>
                <w:bCs/>
                <w:color w:val="000000"/>
                <w:sz w:val="24"/>
                <w:szCs w:val="24"/>
                <w:lang w:eastAsia="ru-RU"/>
              </w:rPr>
              <w:t xml:space="preserve"> </w:t>
            </w:r>
            <w:r w:rsidRPr="00DE1FA7">
              <w:rPr>
                <w:rFonts w:ascii="Times New Roman" w:hAnsi="Times New Roman"/>
                <w:b/>
                <w:bCs/>
                <w:color w:val="000000"/>
                <w:sz w:val="24"/>
                <w:szCs w:val="24"/>
                <w:lang w:eastAsia="ru-RU"/>
              </w:rPr>
              <w:t>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Default="00065B46" w:rsidP="003B75D8">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w:t>
            </w:r>
          </w:p>
          <w:p w:rsidR="0027348A" w:rsidRPr="0027348A" w:rsidRDefault="0027348A" w:rsidP="003B75D8">
            <w:pPr>
              <w:spacing w:after="0" w:line="240" w:lineRule="auto"/>
              <w:jc w:val="center"/>
              <w:rPr>
                <w:rFonts w:ascii="Times New Roman" w:hAnsi="Times New Roman"/>
                <w:b/>
                <w:bCs/>
                <w:color w:val="00B050"/>
                <w:sz w:val="24"/>
                <w:szCs w:val="24"/>
                <w:lang w:eastAsia="ru-RU"/>
              </w:rPr>
            </w:pPr>
            <w:r w:rsidRPr="003B75D8">
              <w:rPr>
                <w:rFonts w:ascii="Times New Roman" w:hAnsi="Times New Roman"/>
                <w:b/>
                <w:bCs/>
                <w:color w:val="000000"/>
                <w:sz w:val="24"/>
                <w:szCs w:val="24"/>
                <w:lang w:eastAsia="ru-RU"/>
              </w:rPr>
              <w:t>инструмента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фр +20-50 гр - от 0% до 100%, (в т.ч. 1 сорт-от 0% до 100%(КМ-от 0% до 100%, КП-от 0% до 100%, ПМ-от 0% до 100%, ПП-от 0% до 100%),  2 сорт - от 0% до 100% (КМ-от 0% до </w:t>
            </w:r>
            <w:r w:rsidRPr="00DE1FA7">
              <w:rPr>
                <w:rFonts w:ascii="Times New Roman" w:hAnsi="Times New Roman"/>
                <w:color w:val="000000"/>
                <w:sz w:val="24"/>
                <w:szCs w:val="24"/>
                <w:lang w:eastAsia="ru-RU"/>
              </w:rPr>
              <w:lastRenderedPageBreak/>
              <w:t>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w:t>
            </w:r>
            <w:r w:rsidRPr="00DE1FA7">
              <w:rPr>
                <w:rFonts w:ascii="Times New Roman" w:hAnsi="Times New Roman"/>
                <w:color w:val="000000"/>
                <w:sz w:val="24"/>
                <w:szCs w:val="24"/>
                <w:lang w:eastAsia="ru-RU"/>
              </w:rPr>
              <w:lastRenderedPageBreak/>
              <w:t>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w:t>
            </w:r>
            <w:r w:rsidRPr="00DE1FA7">
              <w:rPr>
                <w:rFonts w:ascii="Times New Roman" w:hAnsi="Times New Roman"/>
                <w:color w:val="000000"/>
                <w:szCs w:val="24"/>
                <w:lang w:eastAsia="ru-RU"/>
              </w:rPr>
              <w:lastRenderedPageBreak/>
              <w:t>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w:t>
            </w:r>
            <w:r w:rsidRPr="00C41C82">
              <w:rPr>
                <w:rFonts w:ascii="Times New Roman" w:hAnsi="Times New Roman"/>
                <w:sz w:val="24"/>
                <w:szCs w:val="24"/>
              </w:rPr>
              <w:lastRenderedPageBreak/>
              <w:t>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DE1FA7">
              <w:rPr>
                <w:rFonts w:ascii="Times New Roman" w:hAnsi="Times New Roman"/>
                <w:color w:val="000000"/>
                <w:sz w:val="23"/>
                <w:szCs w:val="23"/>
                <w:lang w:eastAsia="ru-RU"/>
              </w:rPr>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w:t>
            </w:r>
            <w:r w:rsidRPr="00DE1FA7">
              <w:rPr>
                <w:rFonts w:ascii="Times New Roman" w:hAnsi="Times New Roman"/>
                <w:color w:val="000000"/>
                <w:sz w:val="23"/>
                <w:szCs w:val="23"/>
                <w:lang w:eastAsia="ru-RU"/>
              </w:rPr>
              <w:lastRenderedPageBreak/>
              <w:t>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C41C82">
        <w:trPr>
          <w:trHeight w:val="31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w:t>
            </w:r>
            <w:r w:rsidRPr="00DE1FA7">
              <w:rPr>
                <w:rFonts w:ascii="Times New Roman" w:hAnsi="Times New Roman"/>
                <w:color w:val="000000"/>
                <w:sz w:val="24"/>
                <w:szCs w:val="24"/>
                <w:lang w:eastAsia="ru-RU"/>
              </w:rPr>
              <w:lastRenderedPageBreak/>
              <w:t>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 xml:space="preserve">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w:t>
            </w:r>
            <w:r w:rsidRPr="00DE1FA7">
              <w:rPr>
                <w:rFonts w:ascii="Times New Roman" w:hAnsi="Times New Roman"/>
                <w:color w:val="000000"/>
                <w:sz w:val="24"/>
                <w:szCs w:val="24"/>
                <w:lang w:eastAsia="ru-RU"/>
              </w:rPr>
              <w:lastRenderedPageBreak/>
              <w:t>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C41C82">
        <w:trPr>
          <w:trHeight w:val="2940"/>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w:t>
            </w:r>
            <w:r w:rsidRPr="00DE1FA7">
              <w:rPr>
                <w:rFonts w:ascii="Times New Roman" w:hAnsi="Times New Roman"/>
                <w:color w:val="000000"/>
                <w:sz w:val="24"/>
                <w:szCs w:val="24"/>
                <w:lang w:eastAsia="ru-RU"/>
              </w:rPr>
              <w:lastRenderedPageBreak/>
              <w:t xml:space="preserve">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w:t>
            </w:r>
            <w:r w:rsidRPr="00DE1FA7">
              <w:rPr>
                <w:rFonts w:ascii="Times New Roman" w:hAnsi="Times New Roman"/>
                <w:color w:val="000000"/>
                <w:sz w:val="24"/>
                <w:szCs w:val="24"/>
                <w:lang w:eastAsia="ru-RU"/>
              </w:rPr>
              <w:lastRenderedPageBreak/>
              <w:t>+16мм-от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w:t>
            </w:r>
            <w:r w:rsidRPr="00DE1FA7">
              <w:rPr>
                <w:rFonts w:ascii="Times New Roman" w:hAnsi="Times New Roman"/>
                <w:color w:val="000000"/>
                <w:sz w:val="24"/>
                <w:szCs w:val="24"/>
                <w:lang w:eastAsia="ru-RU"/>
              </w:rPr>
              <w:lastRenderedPageBreak/>
              <w:t xml:space="preserve">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w:t>
            </w:r>
            <w:r w:rsidRPr="00DE1FA7">
              <w:rPr>
                <w:rFonts w:ascii="Times New Roman" w:hAnsi="Times New Roman"/>
                <w:color w:val="000000"/>
                <w:sz w:val="24"/>
                <w:szCs w:val="24"/>
                <w:lang w:eastAsia="ru-RU"/>
              </w:rPr>
              <w:lastRenderedPageBreak/>
              <w:t>+11,5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w:t>
            </w:r>
            <w:r w:rsidRPr="00DE1FA7">
              <w:rPr>
                <w:rFonts w:ascii="Times New Roman" w:hAnsi="Times New Roman"/>
                <w:color w:val="000000"/>
                <w:sz w:val="24"/>
                <w:szCs w:val="24"/>
                <w:lang w:eastAsia="ru-RU"/>
              </w:rPr>
              <w:lastRenderedPageBreak/>
              <w:t>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w:t>
            </w:r>
            <w:r w:rsidRPr="00DE1FA7">
              <w:rPr>
                <w:rFonts w:ascii="Times New Roman" w:hAnsi="Times New Roman"/>
                <w:color w:val="000000"/>
                <w:sz w:val="24"/>
                <w:szCs w:val="24"/>
                <w:lang w:eastAsia="ru-RU"/>
              </w:rPr>
              <w:lastRenderedPageBreak/>
              <w:t>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w:t>
            </w:r>
            <w:r w:rsidRPr="00DE1FA7">
              <w:rPr>
                <w:rFonts w:ascii="Times New Roman" w:hAnsi="Times New Roman"/>
                <w:color w:val="000000"/>
                <w:sz w:val="24"/>
                <w:szCs w:val="24"/>
                <w:lang w:eastAsia="ru-RU"/>
              </w:rPr>
              <w:lastRenderedPageBreak/>
              <w:t>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w:t>
            </w:r>
            <w:r w:rsidRPr="00DE1FA7">
              <w:rPr>
                <w:rFonts w:ascii="Times New Roman" w:hAnsi="Times New Roman"/>
                <w:color w:val="000000"/>
                <w:sz w:val="24"/>
                <w:szCs w:val="24"/>
                <w:lang w:eastAsia="ru-RU"/>
              </w:rPr>
              <w:lastRenderedPageBreak/>
              <w:t>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w:t>
            </w:r>
            <w:r w:rsidRPr="00DE1FA7">
              <w:rPr>
                <w:rFonts w:ascii="Times New Roman" w:hAnsi="Times New Roman"/>
                <w:color w:val="000000"/>
                <w:sz w:val="24"/>
                <w:szCs w:val="24"/>
                <w:lang w:eastAsia="ru-RU"/>
              </w:rPr>
              <w:lastRenderedPageBreak/>
              <w:t>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 xml:space="preserve">Содержание в биржевом товаре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w:t>
            </w:r>
            <w:r w:rsidRPr="00DE1FA7">
              <w:rPr>
                <w:rFonts w:ascii="Times New Roman" w:hAnsi="Times New Roman"/>
                <w:color w:val="000000"/>
                <w:sz w:val="24"/>
                <w:szCs w:val="24"/>
                <w:lang w:eastAsia="ru-RU"/>
              </w:rPr>
              <w:lastRenderedPageBreak/>
              <w:t>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 xml:space="preserve">Содержание в биржевом товаре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w:t>
            </w:r>
            <w:r w:rsidRPr="00DE1FA7">
              <w:rPr>
                <w:rFonts w:ascii="Times New Roman" w:hAnsi="Times New Roman"/>
                <w:color w:val="000000"/>
                <w:sz w:val="24"/>
                <w:szCs w:val="24"/>
                <w:lang w:eastAsia="ru-RU"/>
              </w:rPr>
              <w:lastRenderedPageBreak/>
              <w:t>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017,</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w:t>
            </w:r>
            <w:r w:rsidRPr="00DE1FA7">
              <w:rPr>
                <w:rFonts w:ascii="Times New Roman" w:hAnsi="Times New Roman"/>
                <w:color w:val="000000"/>
                <w:sz w:val="24"/>
                <w:szCs w:val="24"/>
                <w:lang w:eastAsia="ru-RU"/>
              </w:rPr>
              <w:lastRenderedPageBreak/>
              <w:t xml:space="preserve">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w:t>
            </w:r>
            <w:r w:rsidRPr="00DE1FA7">
              <w:rPr>
                <w:rFonts w:ascii="Times New Roman" w:hAnsi="Times New Roman"/>
                <w:color w:val="000000"/>
                <w:sz w:val="24"/>
                <w:szCs w:val="24"/>
                <w:lang w:eastAsia="ru-RU"/>
              </w:rPr>
              <w:lastRenderedPageBreak/>
              <w:t>+16мм-от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w:t>
            </w:r>
            <w:r w:rsidRPr="00DE1FA7">
              <w:rPr>
                <w:rFonts w:ascii="Times New Roman" w:hAnsi="Times New Roman"/>
                <w:color w:val="000000"/>
                <w:sz w:val="24"/>
                <w:szCs w:val="24"/>
                <w:lang w:eastAsia="ru-RU"/>
              </w:rPr>
              <w:lastRenderedPageBreak/>
              <w:t xml:space="preserve">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w:t>
            </w:r>
            <w:r w:rsidRPr="00DE1FA7">
              <w:rPr>
                <w:rFonts w:ascii="Times New Roman" w:hAnsi="Times New Roman"/>
                <w:color w:val="000000"/>
                <w:sz w:val="24"/>
                <w:szCs w:val="24"/>
                <w:lang w:eastAsia="ru-RU"/>
              </w:rPr>
              <w:lastRenderedPageBreak/>
              <w:t>+11,5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w:t>
            </w:r>
            <w:r w:rsidRPr="00DE1FA7">
              <w:rPr>
                <w:rFonts w:ascii="Times New Roman" w:hAnsi="Times New Roman"/>
                <w:color w:val="000000"/>
                <w:sz w:val="24"/>
                <w:szCs w:val="24"/>
                <w:lang w:eastAsia="ru-RU"/>
              </w:rPr>
              <w:lastRenderedPageBreak/>
              <w:t>–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w:t>
            </w:r>
            <w:r w:rsidRPr="00DE1FA7">
              <w:rPr>
                <w:rFonts w:ascii="Times New Roman" w:hAnsi="Times New Roman"/>
                <w:color w:val="000000"/>
                <w:sz w:val="24"/>
                <w:szCs w:val="24"/>
                <w:lang w:eastAsia="ru-RU"/>
              </w:rPr>
              <w:lastRenderedPageBreak/>
              <w:t xml:space="preserve">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w:t>
            </w:r>
            <w:r w:rsidRPr="00DE1FA7">
              <w:rPr>
                <w:rFonts w:ascii="Times New Roman" w:hAnsi="Times New Roman"/>
                <w:color w:val="000000"/>
                <w:sz w:val="24"/>
                <w:szCs w:val="24"/>
                <w:lang w:eastAsia="ru-RU"/>
              </w:rPr>
              <w:lastRenderedPageBreak/>
              <w:t>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DE1FA7">
              <w:rPr>
                <w:rFonts w:ascii="Times New Roman" w:hAnsi="Times New Roman"/>
                <w:color w:val="000000"/>
                <w:sz w:val="24"/>
                <w:szCs w:val="24"/>
                <w:lang w:eastAsia="ru-RU"/>
              </w:rPr>
              <w:lastRenderedPageBreak/>
              <w:t>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w:t>
            </w:r>
            <w:r w:rsidRPr="006C03A9">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w:t>
            </w:r>
            <w:r w:rsidRPr="006C03A9">
              <w:rPr>
                <w:rFonts w:ascii="Times New Roman" w:hAnsi="Times New Roman"/>
                <w:color w:val="000000"/>
                <w:sz w:val="24"/>
                <w:szCs w:val="24"/>
                <w:lang w:eastAsia="ru-RU"/>
              </w:rPr>
              <w:lastRenderedPageBreak/>
              <w:t xml:space="preserve">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w:t>
            </w:r>
            <w:r w:rsidRPr="006C03A9">
              <w:rPr>
                <w:rFonts w:ascii="Times New Roman" w:hAnsi="Times New Roman"/>
                <w:color w:val="000000"/>
                <w:sz w:val="24"/>
                <w:szCs w:val="24"/>
                <w:lang w:eastAsia="ru-RU"/>
              </w:rPr>
              <w:lastRenderedPageBreak/>
              <w:t>гр.-от 0% до 100%, лак черный 5-10 гр.-от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w:t>
            </w:r>
            <w:r w:rsidRPr="006C03A9">
              <w:rPr>
                <w:rFonts w:ascii="Times New Roman" w:hAnsi="Times New Roman"/>
                <w:color w:val="000000"/>
                <w:sz w:val="24"/>
                <w:szCs w:val="24"/>
                <w:lang w:eastAsia="ru-RU"/>
              </w:rPr>
              <w:lastRenderedPageBreak/>
              <w:t xml:space="preserve">(КМ-от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w:t>
            </w:r>
            <w:r w:rsidRPr="006C03A9">
              <w:rPr>
                <w:rFonts w:ascii="Times New Roman" w:hAnsi="Times New Roman"/>
                <w:color w:val="000000"/>
                <w:sz w:val="24"/>
                <w:szCs w:val="24"/>
                <w:lang w:eastAsia="ru-RU"/>
              </w:rPr>
              <w:lastRenderedPageBreak/>
              <w:t>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w:t>
            </w:r>
            <w:r w:rsidRPr="006C03A9">
              <w:rPr>
                <w:rFonts w:ascii="Times New Roman" w:hAnsi="Times New Roman"/>
                <w:color w:val="000000"/>
                <w:sz w:val="24"/>
                <w:szCs w:val="24"/>
                <w:lang w:eastAsia="ru-RU"/>
              </w:rPr>
              <w:lastRenderedPageBreak/>
              <w:t>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w:t>
            </w:r>
            <w:r w:rsidRPr="006C03A9">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w:t>
            </w:r>
            <w:r w:rsidRPr="006C03A9">
              <w:rPr>
                <w:rFonts w:ascii="Times New Roman" w:hAnsi="Times New Roman"/>
                <w:color w:val="000000"/>
                <w:sz w:val="24"/>
                <w:szCs w:val="24"/>
                <w:lang w:eastAsia="ru-RU"/>
              </w:rPr>
              <w:lastRenderedPageBreak/>
              <w:t xml:space="preserve">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w:t>
            </w:r>
            <w:r w:rsidRPr="006C03A9">
              <w:rPr>
                <w:rFonts w:ascii="Times New Roman" w:hAnsi="Times New Roman"/>
                <w:color w:val="000000"/>
                <w:sz w:val="24"/>
                <w:szCs w:val="24"/>
                <w:lang w:eastAsia="ru-RU"/>
              </w:rPr>
              <w:lastRenderedPageBreak/>
              <w:t>гр.-от 0% до 100%, лак черный 5-10 гр.-от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w:t>
            </w:r>
            <w:r w:rsidRPr="006C03A9">
              <w:rPr>
                <w:rFonts w:ascii="Times New Roman" w:hAnsi="Times New Roman"/>
                <w:color w:val="000000"/>
                <w:sz w:val="24"/>
                <w:szCs w:val="24"/>
                <w:lang w:eastAsia="ru-RU"/>
              </w:rPr>
              <w:lastRenderedPageBreak/>
              <w:t xml:space="preserve">(КМ-от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w:t>
            </w:r>
            <w:r w:rsidRPr="006C03A9">
              <w:rPr>
                <w:rFonts w:ascii="Times New Roman" w:hAnsi="Times New Roman"/>
                <w:color w:val="000000"/>
                <w:sz w:val="24"/>
                <w:szCs w:val="24"/>
                <w:lang w:eastAsia="ru-RU"/>
              </w:rPr>
              <w:lastRenderedPageBreak/>
              <w:t>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w:t>
            </w:r>
            <w:r w:rsidRPr="006C03A9">
              <w:rPr>
                <w:rFonts w:ascii="Times New Roman" w:hAnsi="Times New Roman"/>
                <w:color w:val="000000"/>
                <w:sz w:val="24"/>
                <w:szCs w:val="24"/>
                <w:lang w:eastAsia="ru-RU"/>
              </w:rPr>
              <w:lastRenderedPageBreak/>
              <w:t>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firstRow="1" w:lastRow="0" w:firstColumn="1" w:lastColumn="0" w:noHBand="0" w:noVBand="1"/>
      </w:tblPr>
      <w:tblGrid>
        <w:gridCol w:w="676"/>
        <w:gridCol w:w="1899"/>
        <w:gridCol w:w="806"/>
        <w:gridCol w:w="1270"/>
        <w:gridCol w:w="1676"/>
        <w:gridCol w:w="5914"/>
        <w:gridCol w:w="1378"/>
        <w:gridCol w:w="2366"/>
      </w:tblGrid>
      <w:tr w:rsidR="00065B46" w:rsidRPr="00F528F5" w:rsidTr="00C41C82">
        <w:trPr>
          <w:trHeight w:val="2220"/>
        </w:trPr>
        <w:tc>
          <w:tcPr>
            <w:tcW w:w="21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35</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w:t>
            </w:r>
            <w:r w:rsidRPr="00F528F5">
              <w:rPr>
                <w:rFonts w:ascii="Times New Roman" w:hAnsi="Times New Roman"/>
                <w:color w:val="000000"/>
                <w:sz w:val="24"/>
                <w:szCs w:val="24"/>
                <w:lang w:eastAsia="ru-RU"/>
              </w:rPr>
              <w:lastRenderedPageBreak/>
              <w:t>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w:t>
            </w:r>
            <w:r w:rsidRPr="00F528F5">
              <w:rPr>
                <w:rFonts w:ascii="Times New Roman" w:hAnsi="Times New Roman"/>
                <w:color w:val="000000"/>
                <w:sz w:val="24"/>
                <w:szCs w:val="24"/>
                <w:lang w:eastAsia="ru-RU"/>
              </w:rPr>
              <w:lastRenderedPageBreak/>
              <w:t>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w:t>
            </w:r>
            <w:r w:rsidRPr="00F528F5">
              <w:rPr>
                <w:rFonts w:ascii="Times New Roman" w:hAnsi="Times New Roman"/>
                <w:color w:val="000000"/>
                <w:sz w:val="24"/>
                <w:szCs w:val="24"/>
                <w:lang w:eastAsia="ru-RU"/>
              </w:rPr>
              <w:lastRenderedPageBreak/>
              <w:t>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w:t>
            </w:r>
            <w:r w:rsidRPr="00F528F5">
              <w:rPr>
                <w:rFonts w:ascii="Times New Roman" w:hAnsi="Times New Roman"/>
                <w:color w:val="000000"/>
                <w:sz w:val="24"/>
                <w:szCs w:val="24"/>
                <w:lang w:eastAsia="ru-RU"/>
              </w:rPr>
              <w:lastRenderedPageBreak/>
              <w:t>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w:t>
            </w:r>
            <w:r w:rsidRPr="00F528F5">
              <w:rPr>
                <w:rFonts w:ascii="Times New Roman" w:hAnsi="Times New Roman"/>
                <w:color w:val="000000"/>
                <w:sz w:val="24"/>
                <w:szCs w:val="24"/>
                <w:lang w:eastAsia="ru-RU"/>
              </w:rPr>
              <w:lastRenderedPageBreak/>
              <w:t>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w:t>
            </w:r>
            <w:r w:rsidRPr="00F528F5">
              <w:rPr>
                <w:rFonts w:ascii="Times New Roman" w:hAnsi="Times New Roman"/>
                <w:color w:val="000000"/>
                <w:sz w:val="24"/>
                <w:szCs w:val="24"/>
                <w:lang w:eastAsia="ru-RU"/>
              </w:rPr>
              <w:lastRenderedPageBreak/>
              <w:t>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40</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41</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42</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bl>
    <w:p w:rsidR="00065B46" w:rsidRPr="00501033" w:rsidRDefault="00065B46" w:rsidP="00065B46">
      <w:pPr>
        <w:pStyle w:val="Default"/>
        <w:jc w:val="right"/>
      </w:pPr>
      <w:r w:rsidRPr="00501033">
        <w:lastRenderedPageBreak/>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lastRenderedPageBreak/>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3B75D8" w:rsidRDefault="003B75D8"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3B75D8" w:rsidRDefault="003B75D8" w:rsidP="00065B46">
      <w:pPr>
        <w:autoSpaceDE w:val="0"/>
        <w:autoSpaceDN w:val="0"/>
        <w:adjustRightInd w:val="0"/>
        <w:spacing w:after="0" w:line="240" w:lineRule="auto"/>
        <w:jc w:val="right"/>
        <w:rPr>
          <w:rFonts w:ascii="Times New Roman" w:hAnsi="Times New Roman"/>
          <w:color w:val="000000"/>
          <w:sz w:val="24"/>
          <w:szCs w:val="24"/>
          <w:lang w:eastAsia="ru-RU"/>
        </w:rPr>
      </w:pPr>
    </w:p>
    <w:p w:rsidR="003B75D8" w:rsidRDefault="003B75D8"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A558D5"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A558D5"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 xml:space="preserve">/Франко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w:t>
            </w:r>
            <w:r w:rsidRPr="00533DA6">
              <w:rPr>
                <w:rFonts w:ascii="Times New Roman" w:hAnsi="Times New Roman"/>
                <w:color w:val="000000"/>
                <w:sz w:val="24"/>
                <w:szCs w:val="24"/>
              </w:rPr>
              <w:lastRenderedPageBreak/>
              <w:t>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lastRenderedPageBreak/>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 xml:space="preserve">2020) in accordance with the Specification (Appendix No. 1 to this Contract), containing data on the name, quantity and assortment of amber in the Goods to this </w:t>
            </w:r>
            <w:r w:rsidRPr="00533DA6">
              <w:rPr>
                <w:rFonts w:ascii="Times New Roman" w:hAnsi="Times New Roman"/>
                <w:color w:val="000000"/>
                <w:sz w:val="24"/>
                <w:szCs w:val="24"/>
                <w:lang w:val="en-US"/>
              </w:rPr>
              <w:lastRenderedPageBreak/>
              <w:t>Contract which is an integral part of this Contract.</w:t>
            </w:r>
          </w:p>
        </w:tc>
      </w:tr>
      <w:tr w:rsidR="00533DA6" w:rsidRPr="00A558D5"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A558D5"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A558D5"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A558D5"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A558D5"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A558D5"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A558D5"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A558D5"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A558D5"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 xml:space="preserve">Пункт назначения определяется Покупателем для каждой партии товара. При этом пункт назначения Товара по </w:t>
            </w:r>
            <w:r w:rsidRPr="00D511FF">
              <w:rPr>
                <w:rStyle w:val="shorttext"/>
                <w:rFonts w:ascii="Times New Roman" w:hAnsi="Times New Roman"/>
                <w:color w:val="000000"/>
                <w:sz w:val="24"/>
                <w:szCs w:val="24"/>
              </w:rPr>
              <w:lastRenderedPageBreak/>
              <w:t>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lastRenderedPageBreak/>
              <w:t xml:space="preserve">The Buyer will determine the place for destination for each lot of the Goods. Given that the Buyer will specify the </w:t>
            </w:r>
            <w:r w:rsidRPr="00D511FF">
              <w:rPr>
                <w:rStyle w:val="shorttext"/>
                <w:rFonts w:ascii="Times New Roman" w:hAnsi="Times New Roman"/>
                <w:color w:val="000000"/>
                <w:sz w:val="24"/>
                <w:szCs w:val="24"/>
                <w:lang w:val="en-US"/>
              </w:rPr>
              <w:lastRenderedPageBreak/>
              <w:t xml:space="preserve">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w:t>
            </w:r>
            <w:r w:rsidRPr="007D5339">
              <w:rPr>
                <w:rFonts w:ascii="Times New Roman" w:hAnsi="Times New Roman"/>
                <w:color w:val="000000"/>
                <w:sz w:val="24"/>
                <w:szCs w:val="24"/>
              </w:rPr>
              <w:lastRenderedPageBreak/>
              <w:t>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w:t>
            </w:r>
            <w:r w:rsidRPr="00D511FF">
              <w:rPr>
                <w:rFonts w:ascii="Times New Roman" w:hAnsi="Times New Roman"/>
                <w:color w:val="000000"/>
                <w:sz w:val="24"/>
                <w:szCs w:val="24"/>
                <w:lang w:val="en-US"/>
              </w:rPr>
              <w:lastRenderedPageBreak/>
              <w:t>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A558D5"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w:t>
            </w:r>
            <w:r w:rsidRPr="00D511FF">
              <w:rPr>
                <w:rFonts w:ascii="Times New Roman" w:hAnsi="Times New Roman"/>
                <w:color w:val="000000"/>
                <w:sz w:val="24"/>
                <w:szCs w:val="24"/>
              </w:rPr>
              <w:lastRenderedPageBreak/>
              <w:t>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w:t>
            </w:r>
            <w:r w:rsidRPr="00D511FF">
              <w:rPr>
                <w:rFonts w:ascii="Times New Roman" w:hAnsi="Times New Roman"/>
                <w:color w:val="000000"/>
                <w:sz w:val="24"/>
                <w:szCs w:val="24"/>
                <w:lang w:val="en-US"/>
              </w:rPr>
              <w:lastRenderedPageBreak/>
              <w:t>transportation with the mark of boundary intersection) and/or other documents with the marks of customs bodies confirming the export.</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A558D5"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A558D5"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A558D5"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Default="00533DA6" w:rsidP="00533DA6">
            <w:pPr>
              <w:ind w:left="708"/>
              <w:rPr>
                <w:rFonts w:ascii="Times New Roman" w:hAnsi="Times New Roman"/>
                <w:color w:val="000000"/>
                <w:sz w:val="24"/>
                <w:szCs w:val="24"/>
              </w:rPr>
            </w:pPr>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lastRenderedPageBreak/>
              <w:t xml:space="preserve">The value of each lot of the Goods will be established as a sum of products of the quantity of the goods of each article by a contract price of this article. </w:t>
            </w:r>
          </w:p>
          <w:p w:rsidR="00533DA6" w:rsidRPr="00BB5C5E" w:rsidRDefault="00A558D5"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A558D5"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A558D5"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w:t>
            </w:r>
            <w:r w:rsidRPr="00D511FF">
              <w:rPr>
                <w:rFonts w:ascii="Times New Roman" w:hAnsi="Times New Roman"/>
                <w:color w:val="000000"/>
                <w:sz w:val="24"/>
                <w:szCs w:val="24"/>
              </w:rPr>
              <w:lastRenderedPageBreak/>
              <w:t>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further Schedule of delivery will be established as follows: of the total contractual quantity of the Goods the delivery quantity of the first lot will be deducted, the rest quantities will be delivered/selected, if possible, as </w:t>
            </w:r>
            <w:r w:rsidRPr="00D511FF">
              <w:rPr>
                <w:rFonts w:ascii="Times New Roman" w:hAnsi="Times New Roman"/>
                <w:color w:val="000000"/>
                <w:sz w:val="24"/>
                <w:szCs w:val="24"/>
                <w:lang w:val="en-US"/>
              </w:rPr>
              <w:lastRenderedPageBreak/>
              <w:t xml:space="preserve">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 xml:space="preserve">ью </w:t>
            </w:r>
            <w:r>
              <w:rPr>
                <w:rFonts w:ascii="Times New Roman" w:hAnsi="Times New Roman"/>
                <w:color w:val="000000"/>
                <w:sz w:val="24"/>
                <w:szCs w:val="24"/>
              </w:rPr>
              <w:lastRenderedPageBreak/>
              <w:t>ответственного лица Продавца.</w:t>
            </w:r>
          </w:p>
          <w:p w:rsidR="00533DA6" w:rsidRPr="00D511FF" w:rsidRDefault="00533DA6" w:rsidP="00533DA6">
            <w:pPr>
              <w:spacing w:after="0" w:line="240" w:lineRule="auto"/>
              <w:ind w:left="1080"/>
              <w:jc w:val="both"/>
              <w:rPr>
                <w:rFonts w:ascii="Times New Roman" w:hAnsi="Times New Roman"/>
                <w:color w:val="000000"/>
                <w:sz w:val="24"/>
                <w:szCs w:val="24"/>
              </w:rPr>
            </w:pPr>
          </w:p>
          <w:p w:rsidR="00533DA6" w:rsidRPr="00D511FF" w:rsidRDefault="00533DA6" w:rsidP="00533DA6">
            <w:pPr>
              <w:spacing w:before="240" w:after="0" w:line="240" w:lineRule="auto"/>
              <w:ind w:left="1080"/>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D511FF" w:rsidRDefault="00533DA6" w:rsidP="00533DA6">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 xml:space="preserve">e Seller's responsible </w:t>
            </w:r>
            <w:r>
              <w:rPr>
                <w:rFonts w:ascii="Times New Roman" w:hAnsi="Times New Roman"/>
                <w:color w:val="000000"/>
                <w:sz w:val="24"/>
                <w:szCs w:val="24"/>
                <w:lang w:val="en-US"/>
              </w:rPr>
              <w:lastRenderedPageBreak/>
              <w:t>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p w:rsidR="00533DA6" w:rsidRPr="00692059" w:rsidRDefault="00533DA6" w:rsidP="00533DA6">
            <w:pPr>
              <w:spacing w:before="240" w:after="0" w:line="240" w:lineRule="auto"/>
              <w:ind w:left="1080"/>
              <w:jc w:val="both"/>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A558D5"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A558D5"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в счете какая-либо из Сторон обнаружит ошибку, то Сторона, ее обнаружившая, высылает в течение 15 календарных дней после ее обнаружения </w:t>
            </w:r>
            <w:r w:rsidRPr="00D511FF">
              <w:rPr>
                <w:rFonts w:ascii="Times New Roman" w:hAnsi="Times New Roman"/>
                <w:color w:val="000000"/>
                <w:sz w:val="24"/>
                <w:szCs w:val="24"/>
              </w:rPr>
              <w:lastRenderedPageBreak/>
              <w:t>уведомление об ошибке, после чего ошибка исправляется.</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t>
            </w:r>
            <w:r w:rsidRPr="00D511FF">
              <w:rPr>
                <w:rFonts w:ascii="Times New Roman" w:hAnsi="Times New Roman"/>
                <w:color w:val="000000"/>
                <w:sz w:val="24"/>
                <w:szCs w:val="24"/>
                <w:lang w:val="en-US"/>
              </w:rPr>
              <w:lastRenderedPageBreak/>
              <w:t>whereupon the error will be corrected.</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xml:space="preserve">, а также остановки </w:t>
            </w:r>
            <w:r>
              <w:rPr>
                <w:rFonts w:ascii="Times New Roman" w:hAnsi="Times New Roman"/>
                <w:color w:val="000000"/>
                <w:sz w:val="24"/>
                <w:szCs w:val="24"/>
              </w:rPr>
              <w:lastRenderedPageBreak/>
              <w:t>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 xml:space="preserve">as well as production </w:t>
            </w:r>
            <w:r w:rsidRPr="004A39A3">
              <w:rPr>
                <w:rFonts w:ascii="Times New Roman" w:hAnsi="Times New Roman"/>
                <w:color w:val="000000"/>
                <w:sz w:val="24"/>
                <w:szCs w:val="24"/>
                <w:lang w:val="en-US"/>
              </w:rPr>
              <w:lastRenderedPageBreak/>
              <w:t>stoppages of the Seller, associated with the publication of acts of state power bodies and local self-government.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w:t>
            </w:r>
            <w:r w:rsidRPr="00D511FF">
              <w:rPr>
                <w:rFonts w:ascii="Times New Roman" w:hAnsi="Times New Roman"/>
                <w:color w:val="000000"/>
                <w:sz w:val="24"/>
                <w:szCs w:val="24"/>
              </w:rPr>
              <w:lastRenderedPageBreak/>
              <w:t xml:space="preserve">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Party affected by force-majeure circumstances shall in the shortest </w:t>
            </w:r>
            <w:r w:rsidRPr="00D511FF">
              <w:rPr>
                <w:rFonts w:ascii="Times New Roman" w:hAnsi="Times New Roman"/>
                <w:color w:val="000000"/>
                <w:sz w:val="24"/>
                <w:szCs w:val="24"/>
                <w:lang w:val="en-US"/>
              </w:rPr>
              <w:lastRenderedPageBreak/>
              <w:t xml:space="preserve">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A558D5"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Любому органу государственной власти или безопасности, где раскрытие такой </w:t>
            </w:r>
            <w:r w:rsidRPr="00D511FF">
              <w:rPr>
                <w:rFonts w:ascii="Times New Roman" w:hAnsi="Times New Roman"/>
                <w:color w:val="000000"/>
                <w:sz w:val="24"/>
                <w:szCs w:val="24"/>
              </w:rPr>
              <w:lastRenderedPageBreak/>
              <w:t>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organ of state power or national security where the disclosure of </w:t>
            </w:r>
            <w:r w:rsidRPr="00D511FF">
              <w:rPr>
                <w:rFonts w:ascii="Times New Roman" w:hAnsi="Times New Roman"/>
                <w:color w:val="000000"/>
                <w:sz w:val="24"/>
                <w:szCs w:val="24"/>
                <w:lang w:val="en-US"/>
              </w:rPr>
              <w:lastRenderedPageBreak/>
              <w:t>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A558D5"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A558D5"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w:t>
            </w:r>
            <w:r w:rsidRPr="00D511FF">
              <w:rPr>
                <w:rFonts w:ascii="Times New Roman" w:hAnsi="Times New Roman"/>
                <w:color w:val="000000"/>
                <w:sz w:val="24"/>
                <w:szCs w:val="24"/>
              </w:rPr>
              <w:lastRenderedPageBreak/>
              <w:t>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Each Party acting as a reasonable and </w:t>
            </w:r>
            <w:r w:rsidRPr="00D511FF">
              <w:rPr>
                <w:rFonts w:ascii="Times New Roman" w:hAnsi="Times New Roman"/>
                <w:color w:val="000000"/>
                <w:sz w:val="24"/>
                <w:szCs w:val="24"/>
                <w:lang w:val="en-US"/>
              </w:rPr>
              <w:lastRenderedPageBreak/>
              <w:t>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A558D5"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A558D5"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w:t>
            </w:r>
            <w:r w:rsidRPr="00D511FF">
              <w:rPr>
                <w:rFonts w:ascii="Times New Roman" w:hAnsi="Times New Roman"/>
                <w:color w:val="000000"/>
                <w:sz w:val="24"/>
                <w:szCs w:val="24"/>
              </w:rPr>
              <w:lastRenderedPageBreak/>
              <w:t xml:space="preserve">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lastRenderedPageBreak/>
              <w:t xml:space="preserve">"Confidentiality"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A558D5"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lastRenderedPageBreak/>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A558D5"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564"/>
        <w:gridCol w:w="1649"/>
        <w:gridCol w:w="3640"/>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699"/>
        <w:gridCol w:w="1171"/>
        <w:gridCol w:w="398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870786" w:rsidRDefault="00870786" w:rsidP="003B75D8">
      <w:pPr>
        <w:spacing w:after="0" w:line="360" w:lineRule="auto"/>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870786" w:rsidRDefault="00870786"/>
    <w:p w:rsidR="00870786" w:rsidRDefault="00870786"/>
    <w:p w:rsidR="003B75D8" w:rsidRDefault="003B75D8"/>
    <w:p w:rsidR="003B75D8" w:rsidRDefault="003B75D8"/>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lastRenderedPageBreak/>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p w:rsidR="00065B46" w:rsidRDefault="00065B46"/>
    <w:sectPr w:rsidR="00065B46" w:rsidSect="002C2B1B">
      <w:footerReference w:type="default" r:id="rId10"/>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D8" w:rsidRDefault="003B75D8" w:rsidP="009A62C8">
      <w:pPr>
        <w:spacing w:after="0" w:line="240" w:lineRule="auto"/>
      </w:pPr>
      <w:r>
        <w:separator/>
      </w:r>
    </w:p>
  </w:endnote>
  <w:endnote w:type="continuationSeparator" w:id="0">
    <w:p w:rsidR="003B75D8" w:rsidRDefault="003B75D8"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01"/>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D8" w:rsidRDefault="003B75D8">
    <w:pPr>
      <w:pStyle w:val="aa"/>
      <w:jc w:val="right"/>
    </w:pPr>
    <w:r>
      <w:fldChar w:fldCharType="begin"/>
    </w:r>
    <w:r>
      <w:instrText xml:space="preserve"> PAGE   \* MERGEFORMAT </w:instrText>
    </w:r>
    <w:r>
      <w:fldChar w:fldCharType="separate"/>
    </w:r>
    <w:r w:rsidR="00A558D5">
      <w:rPr>
        <w:noProof/>
      </w:rPr>
      <w:t>186</w:t>
    </w:r>
    <w:r>
      <w:rPr>
        <w:noProof/>
      </w:rPr>
      <w:fldChar w:fldCharType="end"/>
    </w:r>
  </w:p>
  <w:p w:rsidR="003B75D8" w:rsidRDefault="003B75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D8" w:rsidRDefault="003B75D8">
    <w:pPr>
      <w:pStyle w:val="aa"/>
      <w:jc w:val="right"/>
    </w:pPr>
  </w:p>
  <w:p w:rsidR="003B75D8" w:rsidRDefault="003B75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1912"/>
      <w:docPartObj>
        <w:docPartGallery w:val="Page Numbers (Bottom of Page)"/>
        <w:docPartUnique/>
      </w:docPartObj>
    </w:sdtPr>
    <w:sdtEndPr/>
    <w:sdtContent>
      <w:p w:rsidR="003B75D8" w:rsidRDefault="003B75D8">
        <w:pPr>
          <w:pStyle w:val="aa"/>
          <w:jc w:val="right"/>
        </w:pPr>
        <w:r>
          <w:fldChar w:fldCharType="begin"/>
        </w:r>
        <w:r>
          <w:instrText xml:space="preserve"> PAGE   \* MERGEFORMAT </w:instrText>
        </w:r>
        <w:r>
          <w:fldChar w:fldCharType="separate"/>
        </w:r>
        <w:r w:rsidR="00A558D5">
          <w:rPr>
            <w:noProof/>
          </w:rPr>
          <w:t>206</w:t>
        </w:r>
        <w:r>
          <w:rPr>
            <w:noProof/>
          </w:rPr>
          <w:fldChar w:fldCharType="end"/>
        </w:r>
      </w:p>
    </w:sdtContent>
  </w:sdt>
  <w:p w:rsidR="003B75D8" w:rsidRDefault="003B75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D8" w:rsidRDefault="003B75D8" w:rsidP="009A62C8">
      <w:pPr>
        <w:spacing w:after="0" w:line="240" w:lineRule="auto"/>
      </w:pPr>
      <w:r>
        <w:separator/>
      </w:r>
    </w:p>
  </w:footnote>
  <w:footnote w:type="continuationSeparator" w:id="0">
    <w:p w:rsidR="003B75D8" w:rsidRDefault="003B75D8" w:rsidP="009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60EC"/>
    <w:rsid w:val="000A3C51"/>
    <w:rsid w:val="000A3D01"/>
    <w:rsid w:val="000B5958"/>
    <w:rsid w:val="000C43B6"/>
    <w:rsid w:val="000C43CE"/>
    <w:rsid w:val="000C443A"/>
    <w:rsid w:val="000C7BD5"/>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15B"/>
    <w:rsid w:val="001A438B"/>
    <w:rsid w:val="001B252F"/>
    <w:rsid w:val="001B30C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6FC"/>
    <w:rsid w:val="00263A9E"/>
    <w:rsid w:val="0026553F"/>
    <w:rsid w:val="0026600C"/>
    <w:rsid w:val="002660AF"/>
    <w:rsid w:val="0027348A"/>
    <w:rsid w:val="00275FB8"/>
    <w:rsid w:val="00277913"/>
    <w:rsid w:val="002809FE"/>
    <w:rsid w:val="002853BE"/>
    <w:rsid w:val="00287BC5"/>
    <w:rsid w:val="00287EBA"/>
    <w:rsid w:val="00287F0E"/>
    <w:rsid w:val="00290ED2"/>
    <w:rsid w:val="002A00EF"/>
    <w:rsid w:val="002A0D28"/>
    <w:rsid w:val="002A0F1A"/>
    <w:rsid w:val="002B099C"/>
    <w:rsid w:val="002B5FF7"/>
    <w:rsid w:val="002C0C9C"/>
    <w:rsid w:val="002C291D"/>
    <w:rsid w:val="002C2B1B"/>
    <w:rsid w:val="002C5942"/>
    <w:rsid w:val="002C6FEA"/>
    <w:rsid w:val="002D7CB8"/>
    <w:rsid w:val="002D7F5C"/>
    <w:rsid w:val="002E4195"/>
    <w:rsid w:val="002E4DE5"/>
    <w:rsid w:val="002E61B7"/>
    <w:rsid w:val="002E77E1"/>
    <w:rsid w:val="002F307A"/>
    <w:rsid w:val="00302681"/>
    <w:rsid w:val="003031A9"/>
    <w:rsid w:val="0030361C"/>
    <w:rsid w:val="00303B02"/>
    <w:rsid w:val="003050F4"/>
    <w:rsid w:val="00306C20"/>
    <w:rsid w:val="00324E47"/>
    <w:rsid w:val="0033180A"/>
    <w:rsid w:val="003373F9"/>
    <w:rsid w:val="00342A12"/>
    <w:rsid w:val="00342AC9"/>
    <w:rsid w:val="0034303E"/>
    <w:rsid w:val="003441B1"/>
    <w:rsid w:val="00353037"/>
    <w:rsid w:val="00353718"/>
    <w:rsid w:val="00354857"/>
    <w:rsid w:val="00356E29"/>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B75D8"/>
    <w:rsid w:val="003C1D89"/>
    <w:rsid w:val="003C56DB"/>
    <w:rsid w:val="003D7178"/>
    <w:rsid w:val="003E321E"/>
    <w:rsid w:val="003E3EBA"/>
    <w:rsid w:val="0040640C"/>
    <w:rsid w:val="00415C65"/>
    <w:rsid w:val="00416FEB"/>
    <w:rsid w:val="00420FF0"/>
    <w:rsid w:val="004334F7"/>
    <w:rsid w:val="0043384F"/>
    <w:rsid w:val="0044361A"/>
    <w:rsid w:val="00447489"/>
    <w:rsid w:val="00447762"/>
    <w:rsid w:val="00451CB8"/>
    <w:rsid w:val="004577FE"/>
    <w:rsid w:val="0046259B"/>
    <w:rsid w:val="00463D28"/>
    <w:rsid w:val="00463F52"/>
    <w:rsid w:val="0047210E"/>
    <w:rsid w:val="00472837"/>
    <w:rsid w:val="00490A7C"/>
    <w:rsid w:val="00492462"/>
    <w:rsid w:val="004928D7"/>
    <w:rsid w:val="00495441"/>
    <w:rsid w:val="004A45CC"/>
    <w:rsid w:val="004B0F0B"/>
    <w:rsid w:val="004B1D6A"/>
    <w:rsid w:val="004C69C2"/>
    <w:rsid w:val="004D1064"/>
    <w:rsid w:val="004D1858"/>
    <w:rsid w:val="004D38C5"/>
    <w:rsid w:val="004E06A4"/>
    <w:rsid w:val="004E17BA"/>
    <w:rsid w:val="004E4F0A"/>
    <w:rsid w:val="004E5025"/>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F6D11"/>
    <w:rsid w:val="00601203"/>
    <w:rsid w:val="00602264"/>
    <w:rsid w:val="00603123"/>
    <w:rsid w:val="00603C67"/>
    <w:rsid w:val="00605D61"/>
    <w:rsid w:val="00607DEB"/>
    <w:rsid w:val="00616B52"/>
    <w:rsid w:val="00617AA8"/>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667"/>
    <w:rsid w:val="00700AD1"/>
    <w:rsid w:val="00700BE5"/>
    <w:rsid w:val="007020DC"/>
    <w:rsid w:val="00702D6F"/>
    <w:rsid w:val="00703E04"/>
    <w:rsid w:val="007068AD"/>
    <w:rsid w:val="00715A99"/>
    <w:rsid w:val="007217FE"/>
    <w:rsid w:val="00730011"/>
    <w:rsid w:val="00731ABA"/>
    <w:rsid w:val="00734851"/>
    <w:rsid w:val="00735408"/>
    <w:rsid w:val="007476C4"/>
    <w:rsid w:val="00750621"/>
    <w:rsid w:val="007610CD"/>
    <w:rsid w:val="007642B5"/>
    <w:rsid w:val="00766E09"/>
    <w:rsid w:val="00767031"/>
    <w:rsid w:val="00767169"/>
    <w:rsid w:val="00767F7A"/>
    <w:rsid w:val="00771FA2"/>
    <w:rsid w:val="007749D4"/>
    <w:rsid w:val="00777525"/>
    <w:rsid w:val="00777BBB"/>
    <w:rsid w:val="00785970"/>
    <w:rsid w:val="007870BF"/>
    <w:rsid w:val="00790215"/>
    <w:rsid w:val="00793661"/>
    <w:rsid w:val="007941E8"/>
    <w:rsid w:val="007A3727"/>
    <w:rsid w:val="007A628D"/>
    <w:rsid w:val="007A7253"/>
    <w:rsid w:val="007A7ABC"/>
    <w:rsid w:val="007B35A9"/>
    <w:rsid w:val="007B75EE"/>
    <w:rsid w:val="007C4E6C"/>
    <w:rsid w:val="007C5CF5"/>
    <w:rsid w:val="007D3394"/>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FDE"/>
    <w:rsid w:val="008252B8"/>
    <w:rsid w:val="008259EC"/>
    <w:rsid w:val="008265E7"/>
    <w:rsid w:val="00826DF4"/>
    <w:rsid w:val="00827FD7"/>
    <w:rsid w:val="00830910"/>
    <w:rsid w:val="00830B5B"/>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C1890"/>
    <w:rsid w:val="008C1AD1"/>
    <w:rsid w:val="008D17F9"/>
    <w:rsid w:val="008D3E74"/>
    <w:rsid w:val="008D54CE"/>
    <w:rsid w:val="008E4516"/>
    <w:rsid w:val="008F0C77"/>
    <w:rsid w:val="008F1390"/>
    <w:rsid w:val="0090224C"/>
    <w:rsid w:val="00907D00"/>
    <w:rsid w:val="00914272"/>
    <w:rsid w:val="00920FE6"/>
    <w:rsid w:val="009224E5"/>
    <w:rsid w:val="00924879"/>
    <w:rsid w:val="0093051A"/>
    <w:rsid w:val="009331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402E"/>
    <w:rsid w:val="009D68A2"/>
    <w:rsid w:val="009D7840"/>
    <w:rsid w:val="009E38E6"/>
    <w:rsid w:val="009F118E"/>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C11"/>
    <w:rsid w:val="00A5190E"/>
    <w:rsid w:val="00A558D5"/>
    <w:rsid w:val="00A57CA7"/>
    <w:rsid w:val="00A60963"/>
    <w:rsid w:val="00A730FE"/>
    <w:rsid w:val="00A736B4"/>
    <w:rsid w:val="00A74C7C"/>
    <w:rsid w:val="00A87641"/>
    <w:rsid w:val="00A92C01"/>
    <w:rsid w:val="00AA5812"/>
    <w:rsid w:val="00AA7984"/>
    <w:rsid w:val="00AC642D"/>
    <w:rsid w:val="00AE25B5"/>
    <w:rsid w:val="00AE4C3F"/>
    <w:rsid w:val="00AE58BC"/>
    <w:rsid w:val="00AF21DF"/>
    <w:rsid w:val="00AF71DB"/>
    <w:rsid w:val="00AF7AA7"/>
    <w:rsid w:val="00B00400"/>
    <w:rsid w:val="00B019C1"/>
    <w:rsid w:val="00B02E3E"/>
    <w:rsid w:val="00B10659"/>
    <w:rsid w:val="00B21946"/>
    <w:rsid w:val="00B2275A"/>
    <w:rsid w:val="00B25F72"/>
    <w:rsid w:val="00B30258"/>
    <w:rsid w:val="00B318F6"/>
    <w:rsid w:val="00B3508C"/>
    <w:rsid w:val="00B3590D"/>
    <w:rsid w:val="00B35BD6"/>
    <w:rsid w:val="00B374C9"/>
    <w:rsid w:val="00B37899"/>
    <w:rsid w:val="00B40FC0"/>
    <w:rsid w:val="00B4686C"/>
    <w:rsid w:val="00B63DE6"/>
    <w:rsid w:val="00B67F6E"/>
    <w:rsid w:val="00B72BD4"/>
    <w:rsid w:val="00B77CFF"/>
    <w:rsid w:val="00B831B8"/>
    <w:rsid w:val="00B84319"/>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90E00"/>
    <w:rsid w:val="00C91778"/>
    <w:rsid w:val="00C94EA1"/>
    <w:rsid w:val="00CA1094"/>
    <w:rsid w:val="00CA1ADD"/>
    <w:rsid w:val="00CA439B"/>
    <w:rsid w:val="00CA6876"/>
    <w:rsid w:val="00CB4C5A"/>
    <w:rsid w:val="00CC586B"/>
    <w:rsid w:val="00CC64E7"/>
    <w:rsid w:val="00CC6A6E"/>
    <w:rsid w:val="00CC7B82"/>
    <w:rsid w:val="00CD5EF6"/>
    <w:rsid w:val="00CD70FF"/>
    <w:rsid w:val="00CE76A3"/>
    <w:rsid w:val="00D00738"/>
    <w:rsid w:val="00D01644"/>
    <w:rsid w:val="00D01684"/>
    <w:rsid w:val="00D0373C"/>
    <w:rsid w:val="00D05BBA"/>
    <w:rsid w:val="00D10DFC"/>
    <w:rsid w:val="00D2002A"/>
    <w:rsid w:val="00D23B5C"/>
    <w:rsid w:val="00D2793D"/>
    <w:rsid w:val="00D33E66"/>
    <w:rsid w:val="00D34C76"/>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689B"/>
    <w:rsid w:val="00E0472F"/>
    <w:rsid w:val="00E12457"/>
    <w:rsid w:val="00E16B7D"/>
    <w:rsid w:val="00E20058"/>
    <w:rsid w:val="00E20A13"/>
    <w:rsid w:val="00E319D0"/>
    <w:rsid w:val="00E34246"/>
    <w:rsid w:val="00E35AD6"/>
    <w:rsid w:val="00E40096"/>
    <w:rsid w:val="00E44740"/>
    <w:rsid w:val="00E45CEE"/>
    <w:rsid w:val="00E46C0B"/>
    <w:rsid w:val="00E6458F"/>
    <w:rsid w:val="00E64CC0"/>
    <w:rsid w:val="00E657B1"/>
    <w:rsid w:val="00E66658"/>
    <w:rsid w:val="00E767F0"/>
    <w:rsid w:val="00E818F1"/>
    <w:rsid w:val="00E81ACD"/>
    <w:rsid w:val="00E83450"/>
    <w:rsid w:val="00E94E01"/>
    <w:rsid w:val="00EA09AF"/>
    <w:rsid w:val="00EA7333"/>
    <w:rsid w:val="00EB16BB"/>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6AC2"/>
    <w:rsid w:val="00F4004F"/>
    <w:rsid w:val="00F40156"/>
    <w:rsid w:val="00F42BCF"/>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564B"/>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00C4"/>
  <w15:docId w15:val="{36737904-6007-41D0-8322-57EF6D7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4E11-7ABA-4E72-95C4-631C20F2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212</Pages>
  <Words>48358</Words>
  <Characters>275647</Characters>
  <Application>Microsoft Office Word</Application>
  <DocSecurity>0</DocSecurity>
  <Lines>2297</Lines>
  <Paragraphs>646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Прокофьева Ксения Алексеевна</cp:lastModifiedBy>
  <cp:revision>6</cp:revision>
  <cp:lastPrinted>2020-11-19T10:07:00Z</cp:lastPrinted>
  <dcterms:created xsi:type="dcterms:W3CDTF">2020-11-19T08:26:00Z</dcterms:created>
  <dcterms:modified xsi:type="dcterms:W3CDTF">2020-11-19T12:56:00Z</dcterms:modified>
</cp:coreProperties>
</file>