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B" w:rsidRPr="004861F8" w:rsidRDefault="0013149B" w:rsidP="0013149B">
      <w:pPr>
        <w:jc w:val="center"/>
        <w:rPr>
          <w:rFonts w:ascii="Arial" w:hAnsi="Arial" w:cs="Arial"/>
          <w:bCs/>
          <w:sz w:val="20"/>
          <w:szCs w:val="20"/>
        </w:rPr>
      </w:pPr>
    </w:p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  <w:r w:rsidR="00CD027F">
        <w:rPr>
          <w:b/>
          <w:sz w:val="28"/>
          <w:szCs w:val="28"/>
        </w:rPr>
        <w:t xml:space="preserve"> №___________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Pr="004861F8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Акционерное общество «Биржа «Санкт-Петербург», именуемое в дальнейшем «Биржа», в лице Генерального директора</w:t>
      </w:r>
      <w:r w:rsidR="00F23D4B">
        <w:rPr>
          <w:rFonts w:eastAsia="Calibri"/>
        </w:rPr>
        <w:t xml:space="preserve"> Иванова П.А.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</w:t>
      </w:r>
      <w:proofErr w:type="gramStart"/>
      <w:r w:rsidRPr="007D5CDF">
        <w:t>Договор</w:t>
      </w:r>
      <w:proofErr w:type="gramEnd"/>
      <w:r w:rsidRPr="007D5CDF">
        <w:t xml:space="preserve">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не внесения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>Участника 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lastRenderedPageBreak/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>
              <w:t>__________________</w:t>
            </w:r>
          </w:p>
          <w:p w:rsidR="0013149B" w:rsidRPr="003165D1" w:rsidRDefault="0013149B" w:rsidP="00CD027F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</w:t>
            </w:r>
            <w:r w:rsidR="00CD027F">
              <w:t>Иванов П.А.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49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C3242"/>
    <w:rsid w:val="001D6136"/>
    <w:rsid w:val="00220ECD"/>
    <w:rsid w:val="002C6E25"/>
    <w:rsid w:val="002D226D"/>
    <w:rsid w:val="002E1384"/>
    <w:rsid w:val="002E7FB6"/>
    <w:rsid w:val="0030569F"/>
    <w:rsid w:val="003076D3"/>
    <w:rsid w:val="00311172"/>
    <w:rsid w:val="0032152C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D027F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5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2018-09-03T15:01:00Z</dcterms:created>
  <dcterms:modified xsi:type="dcterms:W3CDTF">2018-09-04T10:40:00Z</dcterms:modified>
</cp:coreProperties>
</file>